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460CC379">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460CC379">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460CC379">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460CC379">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77EAA720" w:rsidR="003512D3" w:rsidRPr="009144BB" w:rsidRDefault="003512D3" w:rsidP="460CC379">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rFonts w:ascii="Calibri" w:hAnsi="Calibri" w:cs="Calibri"/>
                <w:b/>
                <w:bCs/>
                <w:sz w:val="36"/>
                <w:szCs w:val="36"/>
                <w:shd w:val="clear" w:color="auto" w:fill="00FFFF"/>
              </w:rPr>
              <w:t xml:space="preserve">[Request from </w:t>
            </w:r>
            <w:r w:rsidR="03AFA922">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460CC379">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460CC379">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460CC379">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460CC379">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4EF8002E"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743CD1">
        <w:rPr>
          <w:rFonts w:asciiTheme="minorHAnsi" w:hAnsiTheme="minorHAnsi" w:cstheme="minorHAnsi"/>
          <w:szCs w:val="24"/>
        </w:rPr>
        <w:t>M</w:t>
      </w:r>
      <w:r w:rsidR="00A323E5">
        <w:rPr>
          <w:rFonts w:asciiTheme="minorHAnsi" w:hAnsiTheme="minorHAnsi" w:cstheme="minorHAnsi"/>
          <w:szCs w:val="24"/>
        </w:rPr>
        <w:t>X</w:t>
      </w:r>
      <w:r w:rsidR="00743CD1">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obligations</w:t>
      </w:r>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71E0E01E"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xml:space="preserve">.  </w:t>
      </w:r>
      <w:r w:rsidR="004272BD" w:rsidRPr="00F64FE1">
        <w:rPr>
          <w:rFonts w:asciiTheme="minorHAnsi" w:hAnsiTheme="minorHAnsi" w:cstheme="minorHAnsi"/>
          <w:szCs w:val="24"/>
        </w:rPr>
        <w:t xml:space="preserve">If any Project Participant will use or access any premises or equipment of </w:t>
      </w:r>
      <w:r w:rsidR="004272BD">
        <w:rPr>
          <w:rFonts w:asciiTheme="minorHAnsi" w:hAnsiTheme="minorHAnsi" w:cstheme="minorHAnsi"/>
          <w:szCs w:val="24"/>
        </w:rPr>
        <w:t>MxD</w:t>
      </w:r>
      <w:r w:rsidR="004272BD" w:rsidRPr="00F64FE1">
        <w:rPr>
          <w:rFonts w:asciiTheme="minorHAnsi" w:hAnsiTheme="minorHAnsi" w:cstheme="minorHAnsi"/>
          <w:szCs w:val="24"/>
        </w:rPr>
        <w:t xml:space="preserve">, </w:t>
      </w:r>
      <w:r w:rsidR="004272BD">
        <w:rPr>
          <w:rFonts w:asciiTheme="minorHAnsi" w:hAnsiTheme="minorHAnsi" w:cstheme="minorHAnsi"/>
          <w:szCs w:val="24"/>
        </w:rPr>
        <w:t xml:space="preserve">the Project Team Lead will cause </w:t>
      </w:r>
      <w:r w:rsidR="004272BD" w:rsidRPr="00F64FE1">
        <w:rPr>
          <w:rFonts w:asciiTheme="minorHAnsi" w:hAnsiTheme="minorHAnsi" w:cstheme="minorHAnsi"/>
          <w:szCs w:val="24"/>
        </w:rPr>
        <w:t xml:space="preserve">such Project Participant </w:t>
      </w:r>
      <w:r w:rsidR="004272BD">
        <w:rPr>
          <w:rFonts w:asciiTheme="minorHAnsi" w:hAnsiTheme="minorHAnsi" w:cstheme="minorHAnsi"/>
          <w:szCs w:val="24"/>
        </w:rPr>
        <w:t>to</w:t>
      </w:r>
      <w:r w:rsidR="004272BD" w:rsidRPr="00F64FE1">
        <w:rPr>
          <w:rFonts w:asciiTheme="minorHAnsi" w:hAnsiTheme="minorHAnsi" w:cstheme="minorHAnsi"/>
          <w:szCs w:val="24"/>
        </w:rPr>
        <w:t xml:space="preserve"> execute</w:t>
      </w:r>
      <w:r w:rsidR="004272BD">
        <w:rPr>
          <w:rFonts w:asciiTheme="minorHAnsi" w:hAnsiTheme="minorHAnsi" w:cstheme="minorHAnsi"/>
          <w:szCs w:val="24"/>
        </w:rPr>
        <w:t xml:space="preserve"> a Shop Floor Agreement</w:t>
      </w:r>
      <w:r w:rsidR="004272BD" w:rsidRPr="00F64FE1">
        <w:rPr>
          <w:rFonts w:asciiTheme="minorHAnsi" w:hAnsiTheme="minorHAnsi" w:cstheme="minorHAnsi"/>
          <w:szCs w:val="24"/>
        </w:rPr>
        <w:t xml:space="preserve"> </w:t>
      </w:r>
      <w:r w:rsidR="004272BD">
        <w:rPr>
          <w:rFonts w:asciiTheme="minorHAnsi" w:hAnsiTheme="minorHAnsi" w:cstheme="minorHAnsi"/>
          <w:szCs w:val="24"/>
        </w:rPr>
        <w:t xml:space="preserve">in form to be negotiated by the parties </w:t>
      </w:r>
      <w:r w:rsidR="004272BD" w:rsidRPr="00F64FE1">
        <w:rPr>
          <w:rFonts w:asciiTheme="minorHAnsi" w:hAnsiTheme="minorHAnsi" w:cstheme="minorHAnsi"/>
          <w:szCs w:val="24"/>
        </w:rPr>
        <w:t>prior to accessing such premises or equipment.</w:t>
      </w:r>
      <w:r w:rsidRPr="00F64FE1">
        <w:rPr>
          <w:rFonts w:asciiTheme="minorHAnsi" w:hAnsiTheme="minorHAnsi" w:cstheme="minorHAnsi"/>
          <w:szCs w:val="24"/>
        </w:rPr>
        <w:t xml:space="preserve">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211CD7A3"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w:t>
      </w:r>
      <w:r w:rsidR="00041271">
        <w:rPr>
          <w:rFonts w:asciiTheme="minorHAnsi" w:hAnsiTheme="minorHAnsi" w:cstheme="minorHAnsi"/>
          <w:szCs w:val="24"/>
        </w:rPr>
        <w:t>.</w:t>
      </w:r>
      <w:r w:rsidRPr="00566764">
        <w:rPr>
          <w:rFonts w:asciiTheme="minorHAnsi" w:hAnsiTheme="minorHAnsi" w:cstheme="minorHAnsi"/>
          <w:szCs w:val="24"/>
        </w:rPr>
        <w:t>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062F49DF"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37.705</w:t>
      </w:r>
      <w:r w:rsidR="001E1B80">
        <w:rPr>
          <w:rFonts w:asciiTheme="minorHAnsi" w:hAnsiTheme="minorHAnsi" w:cstheme="minorHAnsi"/>
        </w:rPr>
        <w:t xml:space="preserve"> </w:t>
      </w:r>
      <w:r w:rsidR="001E1B80" w:rsidRPr="001E1B80">
        <w:rPr>
          <w:rFonts w:asciiTheme="minorHAnsi" w:hAnsiTheme="minorHAnsi" w:cstheme="minorHAnsi"/>
        </w:rPr>
        <w:t>[or 32 CFR 37.710 if applicable]</w:t>
      </w:r>
      <w:r w:rsidR="00623AD1" w:rsidRPr="00623AD1">
        <w:rPr>
          <w:rFonts w:asciiTheme="minorHAnsi" w:hAnsiTheme="minorHAnsi" w:cstheme="minorHAnsi"/>
        </w:rPr>
        <w:t xml:space="preserve">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7DD0354" w14:textId="77777777" w:rsidR="00CF13F9" w:rsidRPr="00FB0CA0" w:rsidRDefault="00CF13F9" w:rsidP="00CF13F9">
      <w:pPr>
        <w:pStyle w:val="Legal1L2"/>
        <w:keepNext/>
        <w:rPr>
          <w:rFonts w:ascii="Calibri" w:eastAsia="Calibri" w:hAnsi="Calibri" w:cs="Calibri"/>
          <w:szCs w:val="24"/>
        </w:rPr>
      </w:pPr>
      <w:r w:rsidRPr="00FB0CA0">
        <w:rPr>
          <w:rFonts w:ascii="Calibri" w:eastAsia="Calibri" w:hAnsi="Calibri" w:cs="Calibri"/>
          <w:szCs w:val="24"/>
        </w:rPr>
        <w:t>This EAA for the undersigned Project Participant is for a Firm Fixed Price. In consideration for the Work to be performed by the Project Participant (see SOW), MxD agrees to pay the Project Participant the following firm fixed price of _______________ (_____). The firm fixed price includes interim amounts payable following MxD’s acceptance of each Milestone Deliverable.</w:t>
      </w:r>
    </w:p>
    <w:p w14:paraId="374939CD" w14:textId="14D57646" w:rsidR="00CF13F9" w:rsidRDefault="00CF13F9" w:rsidP="00CF13F9">
      <w:pPr>
        <w:pStyle w:val="Legal1L2"/>
        <w:keepNext/>
        <w:rPr>
          <w:rFonts w:asciiTheme="minorHAnsi" w:eastAsia="Meiryo" w:hAnsiTheme="minorHAnsi" w:cstheme="minorHAnsi"/>
          <w:szCs w:val="24"/>
          <w:u w:val="single"/>
        </w:rPr>
      </w:pPr>
      <w:r w:rsidRPr="00FB0CA0">
        <w:rPr>
          <w:rFonts w:ascii="Calibri" w:eastAsia="Meiryo" w:hAnsi="Calibri" w:cs="Calibri"/>
        </w:rPr>
        <w:t>For purposes of this Section 2 Financial Administration, Invoices and Payments, the references to the Code of Federal Regulations (CFR) shall, in all instances, be read as “As applicable to fixed price agreements.</w:t>
      </w:r>
    </w:p>
    <w:p w14:paraId="12A7091C" w14:textId="6A89473A"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lastRenderedPageBreak/>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in excess of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 xml:space="preserve">to </w:t>
      </w:r>
      <w:r w:rsidRPr="004D5490">
        <w:rPr>
          <w:sz w:val="24"/>
          <w:szCs w:val="24"/>
        </w:rPr>
        <w:lastRenderedPageBreak/>
        <w:t>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as a result of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lastRenderedPageBreak/>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credits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credits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lastRenderedPageBreak/>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 xml:space="preserve">Subject to any required Government </w:t>
      </w:r>
      <w:r w:rsidR="002859E1" w:rsidRPr="00147FA9">
        <w:rPr>
          <w:rFonts w:asciiTheme="minorHAnsi" w:eastAsia="Meiryo" w:hAnsiTheme="minorHAnsi" w:cstheme="minorHAnsi"/>
          <w:szCs w:val="24"/>
        </w:rPr>
        <w:lastRenderedPageBreak/>
        <w:t>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lesser of the (</w:t>
      </w:r>
      <w:proofErr w:type="spellStart"/>
      <w:r w:rsidR="002859E1">
        <w:rPr>
          <w:rFonts w:asciiTheme="minorHAnsi" w:eastAsia="Meiryo" w:hAnsiTheme="minorHAnsi" w:cstheme="minorHAnsi"/>
          <w:spacing w:val="-3"/>
          <w:szCs w:val="24"/>
        </w:rPr>
        <w:t>i</w:t>
      </w:r>
      <w:proofErr w:type="spellEnd"/>
      <w:r w:rsidR="002859E1">
        <w:rPr>
          <w:rFonts w:asciiTheme="minorHAnsi" w:eastAsia="Meiryo" w:hAnsiTheme="minorHAnsi" w:cstheme="minorHAnsi"/>
          <w:spacing w:val="-3"/>
          <w:szCs w:val="24"/>
        </w:rPr>
        <w:t xml:space="preserve">)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facility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w:t>
      </w:r>
      <w:r w:rsidRPr="0007366C">
        <w:rPr>
          <w:rFonts w:eastAsia="Times New Roman" w:cstheme="minorHAnsi"/>
          <w:sz w:val="24"/>
          <w:szCs w:val="24"/>
        </w:rPr>
        <w:lastRenderedPageBreak/>
        <w:t xml:space="preserve">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This standard language is for contractor employees with an area of performance within an Army controlled installation, facility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E.  OPSEC SOP / PLAN REQUIREMENTS: The provision/contract text is for contractor employees with an area of performance within an Army controlled installation, facility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facility or area.  Level I OPSEC </w:t>
      </w:r>
      <w:r>
        <w:rPr>
          <w:rFonts w:eastAsia="Times New Roman" w:cstheme="minorHAnsi"/>
          <w:sz w:val="24"/>
          <w:szCs w:val="24"/>
        </w:rPr>
        <w:t>a</w:t>
      </w:r>
      <w:r w:rsidRPr="0007366C">
        <w:rPr>
          <w:rFonts w:eastAsia="Times New Roman" w:cstheme="minorHAnsi"/>
          <w:sz w:val="24"/>
          <w:szCs w:val="24"/>
        </w:rPr>
        <w:t xml:space="preserve">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w:t>
      </w:r>
      <w:r w:rsidRPr="0007366C">
        <w:rPr>
          <w:rFonts w:eastAsia="Times New Roman" w:cstheme="minorHAnsi"/>
          <w:sz w:val="24"/>
          <w:szCs w:val="24"/>
        </w:rPr>
        <w:lastRenderedPageBreak/>
        <w:t>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G.  ACCESS AND GENERAL PROTECTION / SECURITY POLICY AND PROCEDURES:  This standard language text is for contractor employees with an area of performance within an Army controlled installation, facility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xml:space="preserve">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changes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w:t>
      </w:r>
      <w:proofErr w:type="spellStart"/>
      <w:r>
        <w:t>i</w:t>
      </w:r>
      <w:proofErr w:type="spellEnd"/>
      <w:r>
        <w:t>)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lastRenderedPageBreak/>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The term “significant financial interest” means anything of monetary value, including, but not limited to, salary or other payments for services (e.g., consulting fees or honoraria); equity interest (e.g., stocks, stock options or other ownership interests); and intellectual property rights (e.g., patents, copyrights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lastRenderedPageBreak/>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t>GENERAL PROVISIONS.</w:t>
      </w:r>
      <w:bookmarkEnd w:id="4"/>
    </w:p>
    <w:p w14:paraId="3C31B18B" w14:textId="77777777" w:rsidR="00514D36"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representations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15EE10CF" w14:textId="57387DD6" w:rsidR="00A462EA" w:rsidRPr="00514D36" w:rsidRDefault="00A462EA" w:rsidP="00514D36">
      <w:pPr>
        <w:pStyle w:val="Legal1L2"/>
        <w:rPr>
          <w:rFonts w:asciiTheme="minorHAnsi" w:hAnsiTheme="minorHAnsi" w:cstheme="minorHAnsi"/>
          <w:szCs w:val="24"/>
        </w:rPr>
      </w:pPr>
      <w:r w:rsidRPr="00F64FE1">
        <w:rPr>
          <w:rFonts w:asciiTheme="minorHAnsi" w:hAnsiTheme="minorHAnsi" w:cstheme="minorHAnsi"/>
          <w:szCs w:val="24"/>
        </w:rPr>
        <w:t xml:space="preserve"> </w:t>
      </w:r>
      <w:r w:rsidR="00514D36" w:rsidRPr="00514D36">
        <w:rPr>
          <w:rFonts w:asciiTheme="minorHAnsi" w:hAnsiTheme="minorHAnsi" w:cstheme="minorHAnsi"/>
          <w:szCs w:val="24"/>
          <w:u w:val="single"/>
        </w:rPr>
        <w:t>Effective Date.</w:t>
      </w:r>
      <w:r w:rsidR="00F04FBD">
        <w:rPr>
          <w:rFonts w:asciiTheme="minorHAnsi" w:hAnsiTheme="minorHAnsi" w:cstheme="minorHAnsi"/>
          <w:szCs w:val="24"/>
          <w:u w:val="single"/>
        </w:rPr>
        <w:t xml:space="preserve"> </w:t>
      </w:r>
      <w:r w:rsidR="00514D36" w:rsidRPr="00514D36">
        <w:rPr>
          <w:rFonts w:asciiTheme="minorHAnsi" w:hAnsiTheme="minorHAnsi" w:cstheme="minorHAnsi"/>
          <w:szCs w:val="24"/>
        </w:rPr>
        <w:t xml:space="preserve">The Effective Date of this Agreement shall be the date of the signature of </w:t>
      </w:r>
      <w:proofErr w:type="gramStart"/>
      <w:r w:rsidR="00514D36" w:rsidRPr="00514D36">
        <w:rPr>
          <w:rFonts w:asciiTheme="minorHAnsi" w:hAnsiTheme="minorHAnsi" w:cstheme="minorHAnsi"/>
          <w:szCs w:val="24"/>
        </w:rPr>
        <w:t>MxD</w:t>
      </w:r>
      <w:proofErr w:type="gramEnd"/>
      <w:r w:rsidR="00514D36" w:rsidRPr="00514D36">
        <w:rPr>
          <w:rFonts w:asciiTheme="minorHAnsi" w:hAnsiTheme="minorHAnsi" w:cstheme="minorHAnsi"/>
          <w:szCs w:val="24"/>
        </w:rPr>
        <w:t xml:space="preserve"> and that date shall be inserted on the cover page of this Agreement.  The parties intend that the project participants shall execute this Agreement substantially before the Effective Date.</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61DDE220" w14:textId="5C26C7A4" w:rsidR="000A7580" w:rsidRPr="00210B82" w:rsidRDefault="00A462EA" w:rsidP="00210B82">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f </w:t>
      </w:r>
      <w:r w:rsidRPr="00F64FE1">
        <w:rPr>
          <w:rFonts w:asciiTheme="minorHAnsi" w:eastAsia="Meiryo" w:hAnsiTheme="minorHAnsi" w:cstheme="minorHAnsi"/>
          <w:szCs w:val="24"/>
        </w:rPr>
        <w:lastRenderedPageBreak/>
        <w:t>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C3B9656" w14:textId="77777777" w:rsidR="00210B82" w:rsidRDefault="00210B82" w:rsidP="00210B82">
      <w:pPr>
        <w:pStyle w:val="Legal1L2"/>
        <w:tabs>
          <w:tab w:val="left" w:pos="720"/>
        </w:tabs>
        <w:rPr>
          <w:rFonts w:eastAsia="Meiryo"/>
        </w:rPr>
      </w:pPr>
      <w:r>
        <w:rPr>
          <w:rFonts w:eastAsia="Meiryo"/>
        </w:rPr>
        <w:t>Ensuring Adequate COVID-19 Protocols.</w:t>
      </w:r>
    </w:p>
    <w:p w14:paraId="15036D10" w14:textId="35D12667" w:rsidR="00210B82" w:rsidRDefault="00210B82" w:rsidP="00210B82">
      <w:pPr>
        <w:pStyle w:val="Legal1L3"/>
        <w:numPr>
          <w:ilvl w:val="0"/>
          <w:numId w:val="0"/>
        </w:numPr>
        <w:ind w:left="720"/>
      </w:pPr>
      <w:r>
        <w:t>8.</w:t>
      </w:r>
      <w:r w:rsidR="00FE66F1">
        <w:t>8</w:t>
      </w:r>
      <w:r>
        <w:t>.1.</w:t>
      </w:r>
      <w:r>
        <w:tab/>
        <w:t>This Section 8.</w:t>
      </w:r>
      <w:r w:rsidR="00FE66F1">
        <w:t>8</w:t>
      </w:r>
      <w:r>
        <w:t xml:space="preserve"> is applicable only to contracts in the amount of $250,000.00 or more or contracts that exceed the Simplified Acquisition Threshold as it may be adjusted from time-to-time.</w:t>
      </w:r>
    </w:p>
    <w:p w14:paraId="3F7BB031" w14:textId="27EE9963" w:rsidR="00210B82" w:rsidRDefault="00210B82" w:rsidP="00210B82">
      <w:pPr>
        <w:pStyle w:val="BodyText"/>
        <w:ind w:left="720"/>
      </w:pPr>
      <w:r>
        <w:t>8.</w:t>
      </w:r>
      <w:r w:rsidR="00FE66F1">
        <w:t>8</w:t>
      </w:r>
      <w:r>
        <w:t>.2</w:t>
      </w:r>
      <w:r>
        <w:tab/>
        <w:t>The Project Team Lead shall comply with all guidance, including guidance conveyed through Frequently Asked Questions, as amended during the performance of this contract, for contractor or subcontractor workplace locations published by the Safer Federal Workforce Task Force (Task Force Guidance) at https:/www.saferfederalworkforce.gov/contractors/.</w:t>
      </w:r>
    </w:p>
    <w:p w14:paraId="0723162E" w14:textId="377F9005" w:rsidR="00210B82" w:rsidRPr="00EC1E7E" w:rsidRDefault="00210B82" w:rsidP="00210B82">
      <w:pPr>
        <w:pStyle w:val="BodyText"/>
        <w:ind w:left="720"/>
      </w:pPr>
      <w:r>
        <w:t>8.</w:t>
      </w:r>
      <w:r w:rsidR="00FE66F1">
        <w:t>8</w:t>
      </w:r>
      <w:r>
        <w:t>.3.</w:t>
      </w:r>
      <w:r>
        <w:tab/>
        <w:t>Subcontracts. The Project Team Lead shall include the substance of this clause, including this subsection 8.7.3 in subcontracts at any tier that exceed the simplified acquisition threshold, as defined in Federal Acquisition Regulation 2.101 on the date of subcontract award, and are for services, including construction, performed in whole or in part within the United States or its outlying areas.</w:t>
      </w:r>
    </w:p>
    <w:p w14:paraId="68169609" w14:textId="77777777" w:rsidR="00210B82" w:rsidRPr="008E30DB" w:rsidRDefault="00210B82" w:rsidP="00210B82">
      <w:pPr>
        <w:pStyle w:val="Legal1L3"/>
        <w:numPr>
          <w:ilvl w:val="0"/>
          <w:numId w:val="0"/>
        </w:numPr>
        <w:ind w:left="720"/>
      </w:pPr>
    </w:p>
    <w:p w14:paraId="1B5B7213" w14:textId="77777777" w:rsidR="00210B82" w:rsidRPr="00210B82" w:rsidRDefault="00210B82" w:rsidP="00210B82">
      <w:pPr>
        <w:pStyle w:val="BodyText"/>
        <w:rPr>
          <w:rFonts w:eastAsia="Meiryo"/>
        </w:rPr>
      </w:pP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19A15E99"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FE66F1">
              <w:rPr>
                <w:rFonts w:cstheme="minorHAnsi"/>
                <w:bCs/>
                <w:color w:val="000000" w:themeColor="text1"/>
                <w:sz w:val="24"/>
                <w:szCs w:val="24"/>
              </w:rPr>
              <w:t>Berardino Baratta</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5AA9D650" w:rsidR="00DC07D6" w:rsidRPr="007A45C6" w:rsidRDefault="00DC07D6"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Contract Representative: </w:t>
      </w:r>
      <w:r w:rsidR="008E4D48">
        <w:rPr>
          <w:rFonts w:cs="Times New Roman"/>
          <w:color w:val="000000" w:themeColor="text1"/>
          <w:sz w:val="24"/>
          <w:szCs w:val="24"/>
        </w:rPr>
        <w:t>Amy Janney</w:t>
      </w:r>
    </w:p>
    <w:p w14:paraId="00FCA5B9" w14:textId="66AB807B"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r w:rsidR="001F3132">
        <w:rPr>
          <w:rFonts w:cs="Times New Roman"/>
          <w:color w:val="000000" w:themeColor="text1"/>
          <w:sz w:val="24"/>
          <w:szCs w:val="24"/>
        </w:rPr>
        <w:t>compliance</w:t>
      </w:r>
      <w:r w:rsidRPr="007A45C6">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Pr>
          <w:rFonts w:cs="Times New Roman"/>
          <w:color w:val="000000" w:themeColor="text1"/>
          <w:sz w:val="24"/>
          <w:szCs w:val="24"/>
        </w:rPr>
        <w:t xml:space="preserve"> </w:t>
      </w:r>
      <w:r w:rsidR="00EA54BA" w:rsidRPr="007A45C6">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color w:val="000000" w:themeColor="text1"/>
          <w:sz w:val="24"/>
          <w:szCs w:val="24"/>
        </w:rPr>
      </w:pPr>
      <w:bookmarkStart w:id="5" w:name="_Toc415773200"/>
      <w:r w:rsidRPr="6D408CB7">
        <w:rPr>
          <w:b/>
          <w:sz w:val="24"/>
          <w:szCs w:val="24"/>
        </w:rPr>
        <w:t xml:space="preserve">EXPORT CONTROL.  </w:t>
      </w:r>
      <w:r w:rsidRPr="6D408CB7">
        <w:rPr>
          <w:color w:val="000000" w:themeColor="text1"/>
          <w:sz w:val="24"/>
          <w:szCs w:val="24"/>
        </w:rPr>
        <w:t xml:space="preserve">To Project Team Lead’s actual knowledge, the following materials, including without limitation BIP which will be used in this Project and shared with other Project Participants, are subject to </w:t>
      </w:r>
      <w:r w:rsidR="00BA240D" w:rsidRPr="6D408CB7">
        <w:rPr>
          <w:color w:val="000000" w:themeColor="text1"/>
          <w:sz w:val="24"/>
          <w:szCs w:val="24"/>
        </w:rPr>
        <w:t xml:space="preserve">the International Traffic in Arms Regulations (ITAR) and the Export Administration Regulations of the United States Department of Commerce or any other applicable export control laws or regulations </w:t>
      </w:r>
      <w:r w:rsidR="00E161B8" w:rsidRPr="6D408CB7">
        <w:rPr>
          <w:color w:val="000000" w:themeColor="text1"/>
          <w:sz w:val="24"/>
          <w:szCs w:val="24"/>
        </w:rPr>
        <w:t xml:space="preserve">as per Article X in the Membership Agreement.  Please </w:t>
      </w:r>
      <w:r w:rsidRPr="6D408CB7">
        <w:rPr>
          <w:color w:val="000000" w:themeColor="text1"/>
          <w:sz w:val="24"/>
          <w:szCs w:val="24"/>
        </w:rPr>
        <w:t xml:space="preserve">list </w:t>
      </w:r>
      <w:r w:rsidR="00E161B8" w:rsidRPr="6D408CB7">
        <w:rPr>
          <w:color w:val="000000" w:themeColor="text1"/>
          <w:sz w:val="24"/>
          <w:szCs w:val="24"/>
        </w:rPr>
        <w:t>applicable export classification</w:t>
      </w:r>
      <w:r w:rsidR="001170F3" w:rsidRPr="6D408CB7">
        <w:rPr>
          <w:color w:val="000000" w:themeColor="text1"/>
          <w:sz w:val="24"/>
          <w:szCs w:val="24"/>
        </w:rPr>
        <w:t>s</w:t>
      </w:r>
      <w:r w:rsidR="00E161B8" w:rsidRPr="6D408CB7">
        <w:rPr>
          <w:color w:val="000000" w:themeColor="text1"/>
          <w:sz w:val="24"/>
          <w:szCs w:val="24"/>
        </w:rPr>
        <w:t xml:space="preserve"> (</w:t>
      </w:r>
      <w:proofErr w:type="gramStart"/>
      <w:r w:rsidR="00E161B8" w:rsidRPr="6D408CB7">
        <w:rPr>
          <w:color w:val="000000" w:themeColor="text1"/>
          <w:sz w:val="24"/>
          <w:szCs w:val="24"/>
        </w:rPr>
        <w:t>i.e.</w:t>
      </w:r>
      <w:proofErr w:type="gramEnd"/>
      <w:r w:rsidR="00E161B8" w:rsidRPr="6D408CB7">
        <w:rPr>
          <w:color w:val="000000" w:themeColor="text1"/>
          <w:sz w:val="24"/>
          <w:szCs w:val="24"/>
        </w:rPr>
        <w:t xml:space="preserve"> </w:t>
      </w:r>
      <w:r w:rsidRPr="6D408CB7">
        <w:rPr>
          <w:color w:val="000000" w:themeColor="text1"/>
          <w:sz w:val="24"/>
          <w:szCs w:val="24"/>
        </w:rPr>
        <w:t>ECCN</w:t>
      </w:r>
      <w:r w:rsidR="00E161B8" w:rsidRPr="6D408CB7">
        <w:rPr>
          <w:color w:val="000000" w:themeColor="text1"/>
          <w:sz w:val="24"/>
          <w:szCs w:val="24"/>
        </w:rPr>
        <w:t>)</w:t>
      </w:r>
      <w:r w:rsidRPr="6D408CB7">
        <w:rPr>
          <w:color w:val="000000" w:themeColor="text1"/>
          <w:sz w:val="24"/>
          <w:szCs w:val="24"/>
        </w:rPr>
        <w:t>, if known.  If none, please write “None” below:</w:t>
      </w:r>
    </w:p>
    <w:p w14:paraId="119278FB" w14:textId="24D2A813" w:rsidR="00A91BF3" w:rsidRDefault="00A91BF3" w:rsidP="00A91BF3">
      <w:pPr>
        <w:keepNext/>
        <w:jc w:val="center"/>
        <w:rPr>
          <w:b/>
          <w:sz w:val="24"/>
          <w:szCs w:val="24"/>
        </w:rPr>
      </w:pPr>
      <w:r w:rsidRPr="6D408CB7">
        <w:rPr>
          <w:b/>
          <w:sz w:val="24"/>
          <w:szCs w:val="24"/>
          <w:highlight w:val="cyan"/>
        </w:rPr>
        <w:t>[INSERT RESPONSE]</w:t>
      </w:r>
    </w:p>
    <w:p w14:paraId="4086A2C4" w14:textId="3205F99A" w:rsidR="00A91BF3" w:rsidRDefault="00A91BF3" w:rsidP="00A91BF3">
      <w:pPr>
        <w:keepNext/>
        <w:jc w:val="center"/>
        <w:rPr>
          <w:b/>
          <w:sz w:val="24"/>
          <w:szCs w:val="24"/>
        </w:rPr>
      </w:pPr>
    </w:p>
    <w:p w14:paraId="4013DAFD" w14:textId="7E2C3363" w:rsidR="00DC07D6" w:rsidRPr="00A12663" w:rsidRDefault="00DC07D6" w:rsidP="00DC07D6">
      <w:pPr>
        <w:keepNext/>
        <w:rPr>
          <w:b/>
          <w:sz w:val="24"/>
          <w:szCs w:val="24"/>
        </w:rPr>
      </w:pPr>
      <w:r w:rsidRPr="6D408CB7">
        <w:rPr>
          <w:b/>
          <w:sz w:val="24"/>
          <w:szCs w:val="24"/>
        </w:rPr>
        <w:t>FOREIGN PARTICIPATION.</w:t>
      </w:r>
      <w:bookmarkEnd w:id="5"/>
      <w:r w:rsidRPr="6D408CB7">
        <w:rPr>
          <w:b/>
          <w:sz w:val="24"/>
          <w:szCs w:val="24"/>
        </w:rPr>
        <w:t xml:space="preserve">  </w:t>
      </w:r>
      <w:r w:rsidRPr="6D408CB7">
        <w:rPr>
          <w:rFonts w:eastAsia="Meiryo"/>
          <w:color w:val="000000" w:themeColor="text1"/>
          <w:sz w:val="24"/>
          <w:szCs w:val="24"/>
        </w:rPr>
        <w:t xml:space="preserve">The Project Team Lead will provide the </w:t>
      </w:r>
      <w:r w:rsidR="00F40BDF" w:rsidRPr="6D408CB7">
        <w:rPr>
          <w:rFonts w:eastAsia="Meiryo"/>
          <w:color w:val="000000" w:themeColor="text1"/>
          <w:sz w:val="24"/>
          <w:szCs w:val="24"/>
        </w:rPr>
        <w:t>MxD</w:t>
      </w:r>
      <w:r w:rsidRPr="6D408CB7">
        <w:rPr>
          <w:rFonts w:eastAsia="Meiryo"/>
          <w:color w:val="000000" w:themeColor="text1"/>
          <w:sz w:val="24"/>
          <w:szCs w:val="24"/>
        </w:rPr>
        <w:t xml:space="preserve"> notice of proposed participation of any instrumentality of a </w:t>
      </w:r>
      <w:r w:rsidR="0087383A" w:rsidRPr="6D408CB7">
        <w:rPr>
          <w:rFonts w:eastAsia="Meiryo"/>
          <w:color w:val="000000" w:themeColor="text1"/>
          <w:sz w:val="24"/>
          <w:szCs w:val="24"/>
        </w:rPr>
        <w:t>non-US</w:t>
      </w:r>
      <w:r w:rsidR="00FC236A" w:rsidRPr="6D408CB7">
        <w:rPr>
          <w:rFonts w:eastAsia="Meiryo"/>
          <w:color w:val="000000" w:themeColor="text1"/>
          <w:sz w:val="24"/>
          <w:szCs w:val="24"/>
        </w:rPr>
        <w:t xml:space="preserve"> citizen</w:t>
      </w:r>
      <w:r w:rsidR="00F75363" w:rsidRPr="6D408CB7">
        <w:rPr>
          <w:rFonts w:eastAsia="Meiryo"/>
          <w:color w:val="000000" w:themeColor="text1"/>
          <w:sz w:val="24"/>
          <w:szCs w:val="24"/>
        </w:rPr>
        <w:t xml:space="preserve">, foreign </w:t>
      </w:r>
      <w:r w:rsidRPr="6D408CB7">
        <w:rPr>
          <w:rFonts w:eastAsia="Meiryo"/>
          <w:color w:val="000000" w:themeColor="text1"/>
          <w:sz w:val="24"/>
          <w:szCs w:val="24"/>
        </w:rPr>
        <w:t xml:space="preserve">government or any foreign company, firm, organization, institution or other entity and written notice of </w:t>
      </w:r>
      <w:proofErr w:type="gramStart"/>
      <w:r w:rsidRPr="6D408CB7">
        <w:rPr>
          <w:rFonts w:eastAsia="Meiryo"/>
          <w:color w:val="000000" w:themeColor="text1"/>
          <w:sz w:val="24"/>
          <w:szCs w:val="24"/>
        </w:rPr>
        <w:t>whether or not</w:t>
      </w:r>
      <w:proofErr w:type="gramEnd"/>
      <w:r w:rsidRPr="6D408CB7">
        <w:rPr>
          <w:rFonts w:eastAsia="Meiryo"/>
          <w:color w:val="000000" w:themeColor="text1"/>
          <w:sz w:val="24"/>
          <w:szCs w:val="24"/>
        </w:rPr>
        <w:t xml:space="preserve"> the notice required by Article IX of the Membership Agreement has been submitted.  Project Team Lead acknowledges that </w:t>
      </w:r>
      <w:r w:rsidRPr="6D408CB7">
        <w:rPr>
          <w:color w:val="000000" w:themeColor="text1"/>
          <w:sz w:val="24"/>
          <w:szCs w:val="24"/>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color w:val="000000" w:themeColor="text1"/>
          <w:sz w:val="24"/>
          <w:szCs w:val="24"/>
        </w:rPr>
      </w:pPr>
      <w:bookmarkStart w:id="6" w:name="_Toc415773198"/>
      <w:r w:rsidRPr="6D408CB7">
        <w:rPr>
          <w:b/>
          <w:sz w:val="24"/>
          <w:szCs w:val="24"/>
        </w:rPr>
        <w:t>CONFIDENTIALITY.</w:t>
      </w:r>
      <w:bookmarkEnd w:id="6"/>
      <w:r w:rsidRPr="6D408CB7">
        <w:rPr>
          <w:b/>
          <w:sz w:val="24"/>
          <w:szCs w:val="24"/>
        </w:rPr>
        <w:t xml:space="preserve">  </w:t>
      </w:r>
      <w:r w:rsidR="00663EAA" w:rsidRPr="6D408CB7">
        <w:rPr>
          <w:sz w:val="24"/>
          <w:szCs w:val="24"/>
        </w:rPr>
        <w:t>The Project Team Lead shall flow down Article VII of the Membership Agreement to their respective personnel, agents, partners and team members receiving such Confidential Information or Trade Secrets under this Agreement.</w:t>
      </w:r>
      <w:r w:rsidR="00663EAA" w:rsidRPr="6D408CB7">
        <w:rPr>
          <w:b/>
          <w:sz w:val="24"/>
          <w:szCs w:val="24"/>
        </w:rPr>
        <w:t xml:space="preserve"> </w:t>
      </w:r>
      <w:r w:rsidRPr="6D408CB7">
        <w:rPr>
          <w:color w:val="000000" w:themeColor="text1"/>
          <w:sz w:val="24"/>
          <w:szCs w:val="24"/>
        </w:rPr>
        <w:t xml:space="preserve">In addition to the provisions of Article VII of the Membership Agreement, the </w:t>
      </w:r>
      <w:r w:rsidR="005A5B9C" w:rsidRPr="6D408CB7">
        <w:rPr>
          <w:color w:val="000000" w:themeColor="text1"/>
          <w:sz w:val="24"/>
          <w:szCs w:val="24"/>
        </w:rPr>
        <w:t>following</w:t>
      </w:r>
      <w:r w:rsidRPr="6D408CB7">
        <w:rPr>
          <w:color w:val="000000" w:themeColor="text1"/>
          <w:sz w:val="24"/>
          <w:szCs w:val="24"/>
        </w:rPr>
        <w:t xml:space="preserve"> non-disclosure provisions </w:t>
      </w:r>
      <w:r w:rsidR="005A5B9C" w:rsidRPr="6D408CB7">
        <w:rPr>
          <w:color w:val="000000" w:themeColor="text1"/>
          <w:sz w:val="24"/>
          <w:szCs w:val="24"/>
        </w:rPr>
        <w:t xml:space="preserve">(if any) </w:t>
      </w:r>
      <w:r w:rsidRPr="6D408CB7">
        <w:rPr>
          <w:color w:val="000000" w:themeColor="text1"/>
          <w:sz w:val="24"/>
          <w:szCs w:val="24"/>
        </w:rPr>
        <w:t>will apply to this Agreement</w:t>
      </w:r>
      <w:r w:rsidR="00991AAE" w:rsidRPr="6D408CB7">
        <w:rPr>
          <w:color w:val="000000" w:themeColor="text1"/>
          <w:sz w:val="24"/>
          <w:szCs w:val="24"/>
        </w:rPr>
        <w:t>.</w:t>
      </w:r>
      <w:r w:rsidR="005A5B9C" w:rsidRPr="6D408CB7">
        <w:rPr>
          <w:color w:val="000000" w:themeColor="text1"/>
          <w:sz w:val="24"/>
          <w:szCs w:val="24"/>
        </w:rPr>
        <w:t xml:space="preserve"> If none, please write “None” below:</w:t>
      </w:r>
      <w:r w:rsidRPr="6D408CB7">
        <w:rPr>
          <w:color w:val="000000" w:themeColor="text1"/>
          <w:sz w:val="24"/>
          <w:szCs w:val="24"/>
        </w:rPr>
        <w:t xml:space="preserve">  </w:t>
      </w:r>
    </w:p>
    <w:p w14:paraId="037B7361" w14:textId="77777777" w:rsidR="00A91BF3" w:rsidRDefault="00A91BF3" w:rsidP="00A91BF3">
      <w:pPr>
        <w:keepNext/>
        <w:jc w:val="center"/>
        <w:rPr>
          <w:b/>
          <w:sz w:val="24"/>
          <w:szCs w:val="24"/>
        </w:rPr>
      </w:pPr>
      <w:r w:rsidRPr="6D408CB7">
        <w:rPr>
          <w:b/>
          <w:sz w:val="24"/>
          <w:szCs w:val="24"/>
          <w:highlight w:val="cyan"/>
        </w:rPr>
        <w:t>[INSERT RESPONSE]</w:t>
      </w:r>
    </w:p>
    <w:p w14:paraId="368ABCD8" w14:textId="77777777" w:rsidR="00A91BF3" w:rsidRPr="00A12663" w:rsidRDefault="00A91BF3" w:rsidP="00DC07D6">
      <w:pPr>
        <w:keepNext/>
        <w:rPr>
          <w:rFonts w:cstheme="minorHAnsi"/>
          <w:b/>
        </w:rPr>
      </w:pPr>
    </w:p>
    <w:p w14:paraId="33B15C5C" w14:textId="77777777" w:rsidR="0079080E" w:rsidRDefault="00AA45C5" w:rsidP="0079080E">
      <w:pPr>
        <w:rPr>
          <w:rFonts w:cs="Times New Roman"/>
          <w:b/>
          <w:color w:val="000000" w:themeColor="text1"/>
          <w:sz w:val="32"/>
          <w:szCs w:val="32"/>
        </w:rPr>
      </w:pPr>
      <w:r w:rsidDel="00AA45C5">
        <w:rPr>
          <w:rFonts w:cs="Times New Roman"/>
          <w:b/>
          <w:color w:val="000000" w:themeColor="text1"/>
          <w:sz w:val="32"/>
          <w:szCs w:val="32"/>
        </w:rPr>
        <w:t xml:space="preserve"> </w:t>
      </w:r>
    </w:p>
    <w:p w14:paraId="11CA5E89" w14:textId="77777777" w:rsidR="0079080E" w:rsidRDefault="0079080E">
      <w:pPr>
        <w:rPr>
          <w:rFonts w:cs="Times New Roman"/>
          <w:b/>
          <w:color w:val="000000" w:themeColor="text1"/>
          <w:sz w:val="32"/>
          <w:szCs w:val="32"/>
        </w:rPr>
      </w:pPr>
      <w:r>
        <w:rPr>
          <w:rFonts w:cs="Times New Roman"/>
          <w:b/>
          <w:color w:val="000000" w:themeColor="text1"/>
          <w:sz w:val="32"/>
          <w:szCs w:val="32"/>
        </w:rPr>
        <w:br w:type="page"/>
      </w:r>
    </w:p>
    <w:p w14:paraId="618ECE0A" w14:textId="77777777" w:rsidR="00610BE9" w:rsidRDefault="00610BE9" w:rsidP="00610BE9">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EXHIBIT E</w:t>
      </w:r>
    </w:p>
    <w:p w14:paraId="3E8343DA" w14:textId="77777777" w:rsidR="00610BE9" w:rsidRPr="00F14C23" w:rsidRDefault="00610BE9" w:rsidP="00610BE9">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4CCEE374" w14:textId="77777777" w:rsidR="00610BE9" w:rsidRPr="00782641" w:rsidRDefault="00610BE9" w:rsidP="00610BE9">
      <w:pPr>
        <w:spacing w:after="0"/>
        <w:rPr>
          <w:rFonts w:ascii="Calibri" w:hAnsi="Calibri" w:cs="Calibri"/>
        </w:rPr>
      </w:pPr>
    </w:p>
    <w:p w14:paraId="37F8AA24"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PURPOSE</w:t>
      </w:r>
    </w:p>
    <w:p w14:paraId="59A3E81D" w14:textId="77777777" w:rsidR="00610BE9" w:rsidRPr="00730C87" w:rsidRDefault="00610BE9" w:rsidP="00610BE9">
      <w:pPr>
        <w:pStyle w:val="NoSpacing"/>
        <w:rPr>
          <w:rFonts w:ascii="Calibri" w:hAnsi="Calibri" w:cs="Calibri"/>
        </w:rPr>
      </w:pPr>
      <w:r w:rsidRPr="00730C87">
        <w:rPr>
          <w:rFonts w:ascii="Calibri" w:hAnsi="Calibri" w:cs="Calibri"/>
        </w:rPr>
        <w:t xml:space="preserve">This guide assists Project Participants completion of invoicing to MxD for costs incurred and reporting cost share on approved MxD projects.  The contract type and cost principles will determine what supporting documentation is required for payment.    </w:t>
      </w:r>
    </w:p>
    <w:p w14:paraId="000C93DB" w14:textId="77777777" w:rsidR="00610BE9" w:rsidRPr="00730C87" w:rsidRDefault="00610BE9" w:rsidP="00610BE9">
      <w:pPr>
        <w:pStyle w:val="NoSpacing"/>
        <w:rPr>
          <w:rFonts w:ascii="Calibri" w:hAnsi="Calibri" w:cs="Calibri"/>
        </w:rPr>
      </w:pPr>
    </w:p>
    <w:p w14:paraId="7D90DA93" w14:textId="77777777" w:rsidR="00610BE9" w:rsidRPr="00730C87" w:rsidRDefault="00610BE9" w:rsidP="00610BE9">
      <w:pPr>
        <w:pStyle w:val="NoSpacing"/>
        <w:rPr>
          <w:rFonts w:ascii="Calibri" w:hAnsi="Calibri" w:cs="Calibri"/>
        </w:rPr>
      </w:pPr>
      <w:r w:rsidRPr="00730C87">
        <w:rPr>
          <w:rFonts w:ascii="Calibri" w:hAnsi="Calibri" w:cs="Calibri"/>
        </w:rPr>
        <w:t>This guide covers the following:</w:t>
      </w:r>
    </w:p>
    <w:p w14:paraId="391E2514" w14:textId="77777777" w:rsidR="00610BE9" w:rsidRPr="00730C87" w:rsidRDefault="00610BE9" w:rsidP="00610BE9">
      <w:pPr>
        <w:pStyle w:val="NoSpacing"/>
        <w:rPr>
          <w:rFonts w:ascii="Calibri" w:hAnsi="Calibri" w:cs="Calibri"/>
        </w:rPr>
      </w:pPr>
    </w:p>
    <w:p w14:paraId="54813220"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Reimbursement Process</w:t>
      </w:r>
    </w:p>
    <w:p w14:paraId="7B6CE8DD"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Allowable Costs</w:t>
      </w:r>
    </w:p>
    <w:p w14:paraId="1C2E4E10"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Approved Costs</w:t>
      </w:r>
    </w:p>
    <w:p w14:paraId="37758551"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Substantiated Costs</w:t>
      </w:r>
    </w:p>
    <w:p w14:paraId="32885589"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Rate/Budget Changes</w:t>
      </w:r>
    </w:p>
    <w:p w14:paraId="33462BD5"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Invoice Preparation/Submission</w:t>
      </w:r>
    </w:p>
    <w:p w14:paraId="260C53A9"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Final Invoice</w:t>
      </w:r>
    </w:p>
    <w:p w14:paraId="41F24699" w14:textId="77777777" w:rsidR="00610BE9" w:rsidRPr="00BC2821" w:rsidRDefault="00610BE9" w:rsidP="00610BE9">
      <w:pPr>
        <w:pStyle w:val="NoSpacing"/>
        <w:rPr>
          <w:rFonts w:ascii="Calibri" w:hAnsi="Calibri" w:cs="Calibri"/>
          <w:sz w:val="24"/>
          <w:szCs w:val="24"/>
        </w:rPr>
      </w:pPr>
    </w:p>
    <w:p w14:paraId="068B2B03"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B</w:t>
      </w:r>
      <w:r>
        <w:rPr>
          <w:rFonts w:ascii="Calibri" w:hAnsi="Calibri" w:cs="Calibri"/>
          <w:b/>
          <w:bCs/>
          <w:i w:val="0"/>
          <w:iCs w:val="0"/>
          <w:sz w:val="22"/>
          <w:szCs w:val="22"/>
        </w:rPr>
        <w:t>ACKGROUND</w:t>
      </w:r>
    </w:p>
    <w:p w14:paraId="23FDB3E2" w14:textId="77777777" w:rsidR="00610BE9" w:rsidRPr="00730C87" w:rsidRDefault="00610BE9" w:rsidP="00610BE9">
      <w:pPr>
        <w:pStyle w:val="NoSpacing"/>
        <w:rPr>
          <w:rFonts w:ascii="Calibri" w:hAnsi="Calibri" w:cs="Calibri"/>
        </w:rPr>
      </w:pPr>
      <w:r w:rsidRPr="00730C87">
        <w:rPr>
          <w:rFonts w:ascii="Calibri" w:hAnsi="Calibri" w:cs="Calibri"/>
        </w:rPr>
        <w:t xml:space="preserve">MxD projects are governed by the applicable prime contract and are generally funded on a cost reimbursement basis.  Some contracts allow fee or profit margin, but most do not. </w:t>
      </w:r>
    </w:p>
    <w:p w14:paraId="56EABBDE" w14:textId="77777777" w:rsidR="00610BE9" w:rsidRPr="00730C87" w:rsidRDefault="00610BE9" w:rsidP="00610BE9">
      <w:pPr>
        <w:pStyle w:val="NoSpacing"/>
        <w:rPr>
          <w:rFonts w:ascii="Calibri" w:hAnsi="Calibri" w:cs="Calibri"/>
        </w:rPr>
      </w:pPr>
    </w:p>
    <w:p w14:paraId="06361A87" w14:textId="77777777" w:rsidR="00610BE9" w:rsidRPr="00730C87" w:rsidRDefault="00610BE9" w:rsidP="00610BE9">
      <w:pPr>
        <w:pStyle w:val="NoSpacing"/>
        <w:rPr>
          <w:rFonts w:ascii="Calibri" w:hAnsi="Calibri" w:cs="Calibri"/>
        </w:rPr>
      </w:pPr>
      <w:r w:rsidRPr="00730C87">
        <w:rPr>
          <w:rFonts w:ascii="Calibri" w:hAnsi="Calibri" w:cs="Calibri"/>
        </w:rPr>
        <w:t xml:space="preserve">MxD utilizes two contract types: </w:t>
      </w:r>
    </w:p>
    <w:p w14:paraId="64A46F94" w14:textId="77777777" w:rsidR="00610BE9" w:rsidRPr="00730C87" w:rsidRDefault="00610BE9" w:rsidP="00610BE9">
      <w:pPr>
        <w:pStyle w:val="NoSpacing"/>
        <w:rPr>
          <w:rFonts w:ascii="Calibri" w:hAnsi="Calibri" w:cs="Calibri"/>
        </w:rPr>
      </w:pPr>
    </w:p>
    <w:p w14:paraId="135965FF" w14:textId="77777777" w:rsidR="00610BE9" w:rsidRPr="00730C87" w:rsidRDefault="00610BE9" w:rsidP="00610BE9">
      <w:pPr>
        <w:pStyle w:val="NoSpacing"/>
        <w:numPr>
          <w:ilvl w:val="0"/>
          <w:numId w:val="31"/>
        </w:numPr>
        <w:rPr>
          <w:rFonts w:ascii="Calibri" w:hAnsi="Calibri" w:cs="Calibri"/>
        </w:rPr>
      </w:pPr>
      <w:r w:rsidRPr="00730C87">
        <w:rPr>
          <w:rFonts w:ascii="Calibri" w:hAnsi="Calibri" w:cs="Calibri"/>
        </w:rPr>
        <w:t xml:space="preserve">Cost Reimbursement (CR) - reimbursement for actual costs incurred that are allowable, approved, and substantiated. </w:t>
      </w:r>
    </w:p>
    <w:p w14:paraId="67AAAA52" w14:textId="77777777" w:rsidR="00610BE9" w:rsidRPr="00730C87" w:rsidRDefault="00610BE9" w:rsidP="00610BE9">
      <w:pPr>
        <w:pStyle w:val="NoSpacing"/>
        <w:numPr>
          <w:ilvl w:val="0"/>
          <w:numId w:val="31"/>
        </w:numPr>
        <w:rPr>
          <w:rFonts w:ascii="Calibri" w:hAnsi="Calibri" w:cs="Calibri"/>
        </w:rPr>
      </w:pPr>
      <w:r w:rsidRPr="00730C87">
        <w:rPr>
          <w:rFonts w:ascii="Calibri" w:hAnsi="Calibri" w:cs="Calibri"/>
        </w:rPr>
        <w:t>Firm Fixed Price (FFP) – a milestone-based, pre-approved fixed payment schedule.</w:t>
      </w:r>
    </w:p>
    <w:p w14:paraId="1954FEF5" w14:textId="77777777" w:rsidR="00610BE9" w:rsidRPr="00730C87" w:rsidRDefault="00610BE9" w:rsidP="00610BE9">
      <w:pPr>
        <w:pStyle w:val="NoSpacing"/>
        <w:rPr>
          <w:rFonts w:ascii="Calibri" w:hAnsi="Calibri" w:cs="Calibri"/>
        </w:rPr>
      </w:pPr>
    </w:p>
    <w:p w14:paraId="6CC5B772" w14:textId="77777777" w:rsidR="00610BE9" w:rsidRPr="00730C87" w:rsidRDefault="00610BE9" w:rsidP="00610BE9">
      <w:pPr>
        <w:pStyle w:val="NoSpacing"/>
        <w:rPr>
          <w:rFonts w:ascii="Calibri" w:hAnsi="Calibri" w:cs="Calibri"/>
        </w:rPr>
      </w:pPr>
      <w:r w:rsidRPr="00730C87">
        <w:rPr>
          <w:rFonts w:ascii="Calibri" w:hAnsi="Calibri" w:cs="Calibri"/>
        </w:rPr>
        <w:t>Table 1 includes a non-exhaustive list of acceptable substantiating documentation.</w:t>
      </w:r>
    </w:p>
    <w:p w14:paraId="781B8453" w14:textId="77777777" w:rsidR="00610BE9" w:rsidRPr="00BC2821" w:rsidRDefault="00610BE9" w:rsidP="00610BE9">
      <w:pPr>
        <w:pStyle w:val="NoSpacing"/>
        <w:rPr>
          <w:rFonts w:ascii="Calibri" w:hAnsi="Calibri" w:cs="Calibri"/>
          <w:sz w:val="24"/>
          <w:szCs w:val="24"/>
        </w:rPr>
      </w:pPr>
    </w:p>
    <w:p w14:paraId="52B0645B"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t>REIMBURSEMENT PROCESS</w:t>
      </w:r>
    </w:p>
    <w:p w14:paraId="5406C8CE" w14:textId="77777777" w:rsidR="00610BE9" w:rsidRDefault="00610BE9" w:rsidP="00610BE9">
      <w:pPr>
        <w:pStyle w:val="NoSpacing"/>
        <w:rPr>
          <w:rFonts w:ascii="Calibri" w:hAnsi="Calibri" w:cs="Calibri"/>
          <w:b/>
          <w:bCs/>
        </w:rPr>
      </w:pPr>
    </w:p>
    <w:p w14:paraId="23526732" w14:textId="77777777" w:rsidR="00610BE9" w:rsidRPr="00730C87" w:rsidRDefault="00610BE9" w:rsidP="00610BE9">
      <w:pPr>
        <w:pStyle w:val="NoSpacing"/>
        <w:rPr>
          <w:rFonts w:ascii="Calibri" w:hAnsi="Calibri" w:cs="Calibri"/>
        </w:rPr>
      </w:pPr>
      <w:r w:rsidRPr="00730C87">
        <w:rPr>
          <w:rFonts w:ascii="Calibri" w:hAnsi="Calibri" w:cs="Calibri"/>
          <w:b/>
          <w:bCs/>
        </w:rPr>
        <w:t>MxD requires ALL Project Participants to use the MxD standard invoice template</w:t>
      </w:r>
      <w:r w:rsidRPr="00730C87">
        <w:rPr>
          <w:rFonts w:ascii="Calibri" w:hAnsi="Calibri" w:cs="Calibri"/>
        </w:rPr>
        <w:t xml:space="preserve"> (Attachment 1).  </w:t>
      </w:r>
    </w:p>
    <w:p w14:paraId="2B4DB345" w14:textId="77777777" w:rsidR="00610BE9" w:rsidRPr="00730C87" w:rsidRDefault="00610BE9" w:rsidP="00610BE9">
      <w:pPr>
        <w:pStyle w:val="NoSpacing"/>
        <w:rPr>
          <w:rFonts w:ascii="Calibri" w:hAnsi="Calibri" w:cs="Calibri"/>
        </w:rPr>
      </w:pPr>
    </w:p>
    <w:p w14:paraId="5EE32A31" w14:textId="77777777" w:rsidR="00610BE9" w:rsidRPr="00730C87" w:rsidRDefault="00610BE9" w:rsidP="00610BE9">
      <w:pPr>
        <w:pStyle w:val="NoSpacing"/>
        <w:rPr>
          <w:rFonts w:ascii="Calibri" w:hAnsi="Calibri" w:cs="Calibri"/>
        </w:rPr>
      </w:pPr>
      <w:r w:rsidRPr="00730C87">
        <w:rPr>
          <w:rFonts w:ascii="Calibri" w:hAnsi="Calibri" w:cs="Calibri"/>
        </w:rPr>
        <w:t xml:space="preserve">Invoices and supporting documentation should be submitted to </w:t>
      </w:r>
      <w:hyperlink r:id="rId25" w:history="1">
        <w:r w:rsidRPr="00730C87">
          <w:rPr>
            <w:rStyle w:val="Hyperlink"/>
            <w:rFonts w:ascii="Calibri" w:hAnsi="Calibri" w:cs="Calibri"/>
          </w:rPr>
          <w:t>finance@mxdusa.org</w:t>
        </w:r>
      </w:hyperlink>
      <w:r w:rsidRPr="00730C87">
        <w:rPr>
          <w:rFonts w:ascii="Calibri" w:hAnsi="Calibri" w:cs="Calibri"/>
        </w:rPr>
        <w:t xml:space="preserve">.  </w:t>
      </w:r>
    </w:p>
    <w:p w14:paraId="4BD6889F" w14:textId="77777777" w:rsidR="00610BE9" w:rsidRPr="00730C87" w:rsidRDefault="00610BE9" w:rsidP="00610BE9">
      <w:pPr>
        <w:pStyle w:val="NoSpacing"/>
        <w:numPr>
          <w:ilvl w:val="0"/>
          <w:numId w:val="32"/>
        </w:numPr>
        <w:rPr>
          <w:rFonts w:ascii="Calibri" w:hAnsi="Calibri" w:cs="Calibri"/>
        </w:rPr>
      </w:pPr>
      <w:r w:rsidRPr="00730C87">
        <w:rPr>
          <w:rFonts w:ascii="Calibri" w:hAnsi="Calibri" w:cs="Calibri"/>
        </w:rPr>
        <w:t>CR Project Participants must submit invoices by the 15</w:t>
      </w:r>
      <w:r w:rsidRPr="00730C87">
        <w:rPr>
          <w:rFonts w:ascii="Calibri" w:hAnsi="Calibri" w:cs="Calibri"/>
          <w:vertAlign w:val="superscript"/>
        </w:rPr>
        <w:t>th</w:t>
      </w:r>
      <w:r w:rsidRPr="00730C87">
        <w:rPr>
          <w:rFonts w:ascii="Calibri" w:hAnsi="Calibri" w:cs="Calibri"/>
        </w:rPr>
        <w:t xml:space="preserve"> day following the month that the costs are incurred (e.g., January invoices are submitted by February 15</w:t>
      </w:r>
      <w:r w:rsidRPr="00730C87">
        <w:rPr>
          <w:rFonts w:ascii="Calibri" w:hAnsi="Calibri" w:cs="Calibri"/>
          <w:vertAlign w:val="superscript"/>
        </w:rPr>
        <w:t>th</w:t>
      </w:r>
      <w:r w:rsidRPr="00730C87">
        <w:rPr>
          <w:rFonts w:ascii="Calibri" w:hAnsi="Calibri" w:cs="Calibri"/>
        </w:rPr>
        <w:t>).</w:t>
      </w:r>
    </w:p>
    <w:p w14:paraId="0044080B" w14:textId="77777777" w:rsidR="00610BE9" w:rsidRPr="00730C87" w:rsidRDefault="00610BE9" w:rsidP="00610BE9">
      <w:pPr>
        <w:pStyle w:val="NoSpacing"/>
        <w:numPr>
          <w:ilvl w:val="0"/>
          <w:numId w:val="32"/>
        </w:numPr>
        <w:rPr>
          <w:rFonts w:ascii="Calibri" w:hAnsi="Calibri" w:cs="Calibri"/>
        </w:rPr>
      </w:pPr>
      <w:r w:rsidRPr="00730C87">
        <w:rPr>
          <w:rFonts w:ascii="Calibri" w:hAnsi="Calibri" w:cs="Calibri"/>
        </w:rPr>
        <w:t>FFP Project Participants must submit invoices within 15 days of deliverable completion.  Exceptions must be pre-approved.</w:t>
      </w:r>
    </w:p>
    <w:p w14:paraId="4CF53E06" w14:textId="77777777" w:rsidR="00610BE9" w:rsidRPr="00730C87" w:rsidRDefault="00610BE9" w:rsidP="00610BE9">
      <w:pPr>
        <w:pStyle w:val="NoSpacing"/>
        <w:rPr>
          <w:rFonts w:ascii="Calibri" w:hAnsi="Calibri" w:cs="Calibri"/>
        </w:rPr>
      </w:pPr>
    </w:p>
    <w:p w14:paraId="77595694" w14:textId="77777777" w:rsidR="00610BE9" w:rsidRPr="00730C87" w:rsidRDefault="00610BE9" w:rsidP="00610BE9">
      <w:pPr>
        <w:pStyle w:val="NoSpacing"/>
        <w:rPr>
          <w:rFonts w:ascii="Calibri" w:hAnsi="Calibri" w:cs="Calibri"/>
        </w:rPr>
      </w:pPr>
      <w:r w:rsidRPr="00730C87">
        <w:rPr>
          <w:rFonts w:ascii="Calibri" w:hAnsi="Calibri" w:cs="Calibri"/>
        </w:rPr>
        <w:t>Project Participants are required to submit the following:</w:t>
      </w:r>
    </w:p>
    <w:p w14:paraId="395B514B"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Technical reports and/or deliverables.</w:t>
      </w:r>
    </w:p>
    <w:p w14:paraId="7F4A88E1"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Monthly invoices on MxD standard invoice template for:</w:t>
      </w:r>
    </w:p>
    <w:p w14:paraId="69720963" w14:textId="77777777" w:rsidR="00610BE9" w:rsidRPr="00730C87" w:rsidRDefault="00610BE9" w:rsidP="00610BE9">
      <w:pPr>
        <w:pStyle w:val="NoSpacing"/>
        <w:numPr>
          <w:ilvl w:val="1"/>
          <w:numId w:val="30"/>
        </w:numPr>
        <w:ind w:left="1080"/>
        <w:rPr>
          <w:rFonts w:ascii="Calibri" w:hAnsi="Calibri" w:cs="Calibri"/>
        </w:rPr>
      </w:pPr>
      <w:r w:rsidRPr="00730C87">
        <w:rPr>
          <w:rFonts w:ascii="Calibri" w:hAnsi="Calibri" w:cs="Calibri"/>
        </w:rPr>
        <w:t>Reimbursement of costs incurred/milestone payment schedule.</w:t>
      </w:r>
    </w:p>
    <w:p w14:paraId="56DEF94C" w14:textId="77777777" w:rsidR="00610BE9" w:rsidRPr="00730C87" w:rsidRDefault="00610BE9" w:rsidP="00610BE9">
      <w:pPr>
        <w:pStyle w:val="NoSpacing"/>
        <w:numPr>
          <w:ilvl w:val="1"/>
          <w:numId w:val="30"/>
        </w:numPr>
        <w:ind w:left="1080"/>
        <w:rPr>
          <w:rFonts w:ascii="Calibri" w:hAnsi="Calibri" w:cs="Calibri"/>
        </w:rPr>
      </w:pPr>
      <w:r w:rsidRPr="00730C87">
        <w:rPr>
          <w:rFonts w:ascii="Calibri" w:hAnsi="Calibri" w:cs="Calibri"/>
        </w:rPr>
        <w:lastRenderedPageBreak/>
        <w:t>Cost share claimed.</w:t>
      </w:r>
    </w:p>
    <w:p w14:paraId="430ECCC0"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Appropriate cost substantiation per contract type.</w:t>
      </w:r>
    </w:p>
    <w:p w14:paraId="29D1AA0F" w14:textId="77777777" w:rsidR="00610BE9" w:rsidRPr="00730C87" w:rsidRDefault="00610BE9" w:rsidP="00610BE9">
      <w:pPr>
        <w:pStyle w:val="NoSpacing"/>
        <w:rPr>
          <w:rFonts w:ascii="Calibri" w:hAnsi="Calibri" w:cs="Calibri"/>
        </w:rPr>
      </w:pPr>
    </w:p>
    <w:p w14:paraId="6B75BFCA" w14:textId="77777777" w:rsidR="00610BE9" w:rsidRPr="00816882" w:rsidRDefault="00610BE9" w:rsidP="00610BE9">
      <w:pPr>
        <w:pStyle w:val="NoSpacing"/>
        <w:rPr>
          <w:rFonts w:ascii="Calibri" w:hAnsi="Calibri" w:cs="Calibri"/>
          <w:i/>
          <w:iCs/>
        </w:rPr>
      </w:pPr>
      <w:r w:rsidRPr="00816882">
        <w:rPr>
          <w:rFonts w:ascii="Calibri" w:hAnsi="Calibri" w:cs="Calibri"/>
          <w:b/>
          <w:bCs/>
          <w:i/>
          <w:iCs/>
        </w:rPr>
        <w:t>Payment terms applicable to the contract are contingent upon receipt of a fully complete invoice submission</w:t>
      </w:r>
      <w:r w:rsidRPr="00816882">
        <w:rPr>
          <w:rFonts w:ascii="Calibri" w:hAnsi="Calibri" w:cs="Calibri"/>
          <w:i/>
          <w:iCs/>
        </w:rPr>
        <w:t>.</w:t>
      </w:r>
      <w:r w:rsidRPr="00816882">
        <w:rPr>
          <w:rFonts w:ascii="Calibri" w:hAnsi="Calibri" w:cs="Calibri"/>
          <w:i/>
          <w:iCs/>
          <w:noProof/>
        </w:rPr>
        <w:t xml:space="preserve"> </w:t>
      </w:r>
      <w:r w:rsidRPr="00816882">
        <w:rPr>
          <w:rFonts w:ascii="Calibri" w:hAnsi="Calibri" w:cs="Calibri"/>
          <w:b/>
          <w:bCs/>
          <w:i/>
          <w:iCs/>
          <w:noProof/>
        </w:rPr>
        <w:t>Invoices are 'received' once MxD internally confirms it is fully substantiated.  Payment terms are based on receipt confirmation date.</w:t>
      </w:r>
    </w:p>
    <w:p w14:paraId="1F4B8705" w14:textId="77777777" w:rsidR="00610BE9" w:rsidRPr="00F14C23" w:rsidRDefault="00610BE9" w:rsidP="00610BE9">
      <w:pPr>
        <w:pStyle w:val="NoSpacing"/>
        <w:jc w:val="both"/>
        <w:rPr>
          <w:rFonts w:ascii="Calibri" w:hAnsi="Calibri" w:cs="Calibri"/>
        </w:rPr>
      </w:pPr>
    </w:p>
    <w:p w14:paraId="2F878E2E" w14:textId="77777777" w:rsidR="00610BE9" w:rsidRPr="00730C87" w:rsidRDefault="00610BE9" w:rsidP="00610BE9">
      <w:pPr>
        <w:pStyle w:val="Heading2"/>
        <w:jc w:val="both"/>
        <w:rPr>
          <w:rFonts w:ascii="Calibri" w:hAnsi="Calibri" w:cs="Calibri"/>
          <w:b/>
          <w:bCs/>
          <w:i w:val="0"/>
          <w:iCs w:val="0"/>
          <w:sz w:val="22"/>
          <w:szCs w:val="22"/>
        </w:rPr>
      </w:pPr>
      <w:r>
        <w:rPr>
          <w:rFonts w:ascii="Calibri" w:hAnsi="Calibri" w:cs="Calibri"/>
          <w:b/>
          <w:bCs/>
          <w:i w:val="0"/>
          <w:iCs w:val="0"/>
          <w:sz w:val="22"/>
          <w:szCs w:val="22"/>
        </w:rPr>
        <w:t>ALLOWABLE COSTS</w:t>
      </w:r>
    </w:p>
    <w:p w14:paraId="7E66397F" w14:textId="77777777" w:rsidR="00610BE9" w:rsidRPr="00730C87" w:rsidRDefault="00610BE9" w:rsidP="00610BE9">
      <w:pPr>
        <w:pStyle w:val="NoSpacing"/>
        <w:rPr>
          <w:rFonts w:ascii="Calibri" w:hAnsi="Calibri" w:cs="Calibri"/>
        </w:rPr>
      </w:pPr>
      <w:r w:rsidRPr="00730C87">
        <w:rPr>
          <w:rFonts w:ascii="Calibri" w:hAnsi="Calibri" w:cs="Calibri"/>
        </w:rPr>
        <w:t>The guiding cost principles define what costs are allowable, generally, the Code of Federal Regulations (2 CFR 200) or Federal Acquisitions Regulations (FAR).  Unallowable costs include, but are not limited to, alcoholic beverages, fines and penalties, and lobbying.  Unallowable costs may not be claimed as cost share.</w:t>
      </w:r>
    </w:p>
    <w:p w14:paraId="32B8C595" w14:textId="77777777" w:rsidR="00610BE9" w:rsidRPr="00730C87" w:rsidRDefault="00610BE9" w:rsidP="00610BE9">
      <w:pPr>
        <w:pStyle w:val="NoSpacing"/>
        <w:rPr>
          <w:rFonts w:ascii="Calibri" w:hAnsi="Calibri" w:cs="Calibri"/>
          <w:b/>
        </w:rPr>
      </w:pPr>
    </w:p>
    <w:p w14:paraId="7580B620" w14:textId="77777777" w:rsidR="00610BE9" w:rsidRDefault="00610BE9" w:rsidP="00610BE9">
      <w:pPr>
        <w:pStyle w:val="NoSpacing"/>
        <w:rPr>
          <w:rFonts w:ascii="Calibri" w:hAnsi="Calibri" w:cs="Calibri"/>
        </w:rPr>
      </w:pPr>
      <w:r w:rsidRPr="00730C87">
        <w:rPr>
          <w:rFonts w:ascii="Calibri" w:hAnsi="Calibri" w:cs="Calibri"/>
        </w:rPr>
        <w:t>Costs resulting from obligations incurred by Project Participants during a suspension or after termination of an award are not allowable unless MxD expressly authorizes them in notice of suspension or termination or subsequently.  However, costs during suspension or after termination are allowable if:</w:t>
      </w:r>
    </w:p>
    <w:p w14:paraId="65D7D106" w14:textId="77777777" w:rsidR="00610BE9" w:rsidRPr="00730C87" w:rsidRDefault="00610BE9" w:rsidP="00610BE9">
      <w:pPr>
        <w:pStyle w:val="NoSpacing"/>
        <w:rPr>
          <w:rFonts w:ascii="Calibri" w:hAnsi="Calibri" w:cs="Calibri"/>
        </w:rPr>
      </w:pPr>
    </w:p>
    <w:p w14:paraId="237AC67F"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The costs result from obligations which were properly incurred by Project Participants before the effective date of suspension or termination.</w:t>
      </w:r>
    </w:p>
    <w:p w14:paraId="381DBE85"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 xml:space="preserve">Are not anticipating the suspension. </w:t>
      </w:r>
    </w:p>
    <w:p w14:paraId="6822B99F"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The agreement was not suspended or expired normally at the end of the estimated term in which the termination takes effect.</w:t>
      </w:r>
    </w:p>
    <w:p w14:paraId="173809A4" w14:textId="77777777" w:rsidR="00610BE9" w:rsidRPr="00F14C23" w:rsidRDefault="00610BE9" w:rsidP="00610BE9">
      <w:pPr>
        <w:pStyle w:val="NoSpacing"/>
        <w:ind w:left="360"/>
        <w:jc w:val="both"/>
        <w:rPr>
          <w:rFonts w:ascii="Calibri" w:hAnsi="Calibri" w:cs="Calibri"/>
          <w:b/>
        </w:rPr>
      </w:pPr>
    </w:p>
    <w:p w14:paraId="5BD69C3D" w14:textId="77777777" w:rsidR="00610BE9" w:rsidRPr="00730C87" w:rsidRDefault="00610BE9" w:rsidP="00610BE9">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A</w:t>
      </w:r>
      <w:r>
        <w:rPr>
          <w:rFonts w:ascii="Calibri" w:hAnsi="Calibri" w:cs="Calibri"/>
          <w:b/>
          <w:bCs/>
          <w:i w:val="0"/>
          <w:iCs w:val="0"/>
          <w:sz w:val="22"/>
          <w:szCs w:val="22"/>
        </w:rPr>
        <w:t>PPROVED COSTS</w:t>
      </w:r>
    </w:p>
    <w:p w14:paraId="5334AAD3" w14:textId="77777777" w:rsidR="00610BE9" w:rsidRPr="00730C87" w:rsidRDefault="00610BE9" w:rsidP="00610BE9">
      <w:pPr>
        <w:spacing w:after="0"/>
        <w:rPr>
          <w:rFonts w:ascii="Calibri" w:hAnsi="Calibri" w:cs="Calibri"/>
        </w:rPr>
      </w:pPr>
      <w:r w:rsidRPr="00730C87">
        <w:t>The final budget that was authorized by MxD and/or U.S. Government during cost analysis is what determines if a cost is approved for reimbursement</w:t>
      </w:r>
      <w:r w:rsidRPr="00730C87">
        <w:rPr>
          <w:rFonts w:ascii="Calibri" w:hAnsi="Calibri" w:cs="Calibri"/>
        </w:rPr>
        <w:t xml:space="preserve">.  Project Participants should follow the procedures outlined in the “Rate/Budget Changes” section of this guide if actual costs depart from the approved budget. </w:t>
      </w:r>
    </w:p>
    <w:p w14:paraId="268A3240" w14:textId="77777777" w:rsidR="00610BE9" w:rsidRPr="00730C87" w:rsidRDefault="00610BE9" w:rsidP="00610BE9">
      <w:pPr>
        <w:spacing w:after="0"/>
        <w:rPr>
          <w:rFonts w:ascii="Calibri" w:hAnsi="Calibri" w:cs="Calibri"/>
        </w:rPr>
      </w:pPr>
    </w:p>
    <w:p w14:paraId="1EB693AC"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 xml:space="preserve">SUBSTANTIATING COSTS </w:t>
      </w:r>
      <w:r>
        <w:rPr>
          <w:rFonts w:ascii="Calibri" w:hAnsi="Calibri" w:cs="Calibri"/>
          <w:b/>
          <w:bCs/>
          <w:i w:val="0"/>
          <w:iCs w:val="0"/>
          <w:sz w:val="22"/>
          <w:szCs w:val="22"/>
        </w:rPr>
        <w:t>(</w:t>
      </w:r>
      <w:r w:rsidRPr="00730C87">
        <w:rPr>
          <w:rFonts w:ascii="Calibri" w:hAnsi="Calibri" w:cs="Calibri"/>
          <w:b/>
          <w:bCs/>
          <w:i w:val="0"/>
          <w:iCs w:val="0"/>
          <w:sz w:val="22"/>
          <w:szCs w:val="22"/>
        </w:rPr>
        <w:t>N/A for FFP type contracts)</w:t>
      </w:r>
    </w:p>
    <w:p w14:paraId="5D4BFFD4" w14:textId="77777777" w:rsidR="00610BE9" w:rsidRPr="00730C87" w:rsidRDefault="00610BE9" w:rsidP="00610BE9">
      <w:pPr>
        <w:pStyle w:val="NoSpacing"/>
        <w:rPr>
          <w:rFonts w:ascii="Calibri" w:hAnsi="Calibri" w:cs="Calibri"/>
        </w:rPr>
      </w:pPr>
      <w:r w:rsidRPr="00730C87">
        <w:rPr>
          <w:rFonts w:ascii="Calibri" w:hAnsi="Calibri" w:cs="Calibri"/>
        </w:rPr>
        <w:t xml:space="preserve">Payments for FFP contracts are based on the contracted milestone schedule determined by the authorized budget.  </w:t>
      </w:r>
    </w:p>
    <w:p w14:paraId="47A259C2" w14:textId="77777777" w:rsidR="00610BE9" w:rsidRPr="00730C87" w:rsidRDefault="00610BE9" w:rsidP="00610BE9">
      <w:pPr>
        <w:pStyle w:val="NoSpacing"/>
        <w:rPr>
          <w:rFonts w:ascii="Calibri" w:hAnsi="Calibri" w:cs="Calibri"/>
        </w:rPr>
      </w:pPr>
    </w:p>
    <w:p w14:paraId="3A5A36FA" w14:textId="77777777" w:rsidR="00610BE9" w:rsidRPr="00730C87" w:rsidRDefault="00610BE9" w:rsidP="00610BE9">
      <w:pPr>
        <w:pStyle w:val="NoSpacing"/>
        <w:rPr>
          <w:rFonts w:ascii="Calibri" w:hAnsi="Calibri" w:cs="Calibri"/>
        </w:rPr>
      </w:pPr>
      <w:r w:rsidRPr="00730C87">
        <w:rPr>
          <w:rFonts w:ascii="Calibri" w:hAnsi="Calibri" w:cs="Calibri"/>
        </w:rPr>
        <w:t xml:space="preserve">CR type contracts require Project Participants to provide supporting documentation for </w:t>
      </w:r>
      <w:r w:rsidRPr="00730C87">
        <w:rPr>
          <w:rFonts w:ascii="Calibri" w:hAnsi="Calibri" w:cs="Calibri"/>
          <w:u w:val="single"/>
        </w:rPr>
        <w:t>costs over $75</w:t>
      </w:r>
      <w:r w:rsidRPr="00730C87">
        <w:rPr>
          <w:rFonts w:ascii="Calibri" w:hAnsi="Calibri" w:cs="Calibri"/>
        </w:rPr>
        <w:t>.</w:t>
      </w:r>
    </w:p>
    <w:p w14:paraId="31FBE3F2" w14:textId="77777777" w:rsidR="00610BE9" w:rsidRPr="00730C87" w:rsidRDefault="00610BE9" w:rsidP="00610BE9">
      <w:pPr>
        <w:spacing w:after="0"/>
        <w:rPr>
          <w:rFonts w:ascii="Calibri" w:hAnsi="Calibri" w:cs="Calibri"/>
        </w:rPr>
      </w:pPr>
    </w:p>
    <w:p w14:paraId="27648D90" w14:textId="77777777" w:rsidR="00610BE9" w:rsidRPr="00730C87" w:rsidRDefault="00610BE9" w:rsidP="00610BE9">
      <w:pPr>
        <w:spacing w:after="0"/>
        <w:rPr>
          <w:rFonts w:ascii="Calibri" w:hAnsi="Calibri" w:cs="Calibri"/>
        </w:rPr>
      </w:pPr>
      <w:r w:rsidRPr="00730C87">
        <w:rPr>
          <w:rFonts w:ascii="Calibri" w:hAnsi="Calibri" w:cs="Calibri"/>
        </w:rPr>
        <w:t>Project Participants should coordinate with MxD if items in Table 1 are not readily available.  MxD will work with the Project Participants, to the extent possible, to identify acceptable alternatives.</w:t>
      </w:r>
    </w:p>
    <w:p w14:paraId="57978E33" w14:textId="77777777" w:rsidR="00610BE9" w:rsidRPr="000D1BA7" w:rsidRDefault="00610BE9" w:rsidP="00610BE9">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610BE9" w:rsidRPr="00730C87" w14:paraId="559AA3D7" w14:textId="77777777" w:rsidTr="008014B2">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6C371FE7" w14:textId="77777777" w:rsidR="00610BE9" w:rsidRPr="00730C87" w:rsidRDefault="00610BE9" w:rsidP="008014B2">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19CFD7E8" w14:textId="77777777" w:rsidR="00610BE9" w:rsidRPr="00730C87" w:rsidRDefault="00610BE9" w:rsidP="008014B2">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Recommended Sources of Cost Information/Substantiation</w:t>
            </w:r>
          </w:p>
        </w:tc>
      </w:tr>
      <w:tr w:rsidR="00610BE9" w:rsidRPr="00730C87" w14:paraId="435349CC" w14:textId="77777777" w:rsidTr="008014B2">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88C50AA"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Direct Labor</w:t>
            </w:r>
          </w:p>
          <w:p w14:paraId="29FF5044" w14:textId="77777777" w:rsidR="00610BE9" w:rsidRPr="00730C87" w:rsidRDefault="00610BE9" w:rsidP="008014B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2"/>
                <w:szCs w:val="22"/>
              </w:rPr>
            </w:pPr>
            <w:r w:rsidRPr="00730C87">
              <w:rPr>
                <w:rFonts w:ascii="Calibri" w:eastAsia="Times New Roman" w:hAnsi="Calibri" w:cs="Calibri"/>
                <w:b/>
                <w:kern w:val="24"/>
                <w:sz w:val="22"/>
                <w:szCs w:val="22"/>
              </w:rPr>
              <w:t>Fringe</w:t>
            </w:r>
          </w:p>
          <w:p w14:paraId="42B7179F" w14:textId="77777777" w:rsidR="00610BE9" w:rsidRPr="00730C87" w:rsidRDefault="00610BE9" w:rsidP="008014B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2"/>
                <w:szCs w:val="22"/>
              </w:rPr>
            </w:pPr>
            <w:r w:rsidRPr="00730C87">
              <w:rPr>
                <w:rFonts w:ascii="Calibri" w:eastAsia="Times New Roman" w:hAnsi="Calibri" w:cs="Calibri"/>
                <w:b/>
                <w:kern w:val="24"/>
                <w:sz w:val="22"/>
                <w:szCs w:val="22"/>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0511FD37"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Direct labor rate agreement with the Government</w:t>
            </w:r>
          </w:p>
          <w:p w14:paraId="1E2BE147"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Labor distribution reports</w:t>
            </w:r>
          </w:p>
          <w:p w14:paraId="146E2069"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Payroll data </w:t>
            </w:r>
          </w:p>
          <w:p w14:paraId="5FDE17C9" w14:textId="77777777" w:rsidR="00610BE9" w:rsidRPr="00730C87" w:rsidRDefault="00610BE9" w:rsidP="00610BE9">
            <w:pPr>
              <w:numPr>
                <w:ilvl w:val="2"/>
                <w:numId w:val="40"/>
              </w:numPr>
              <w:spacing w:after="0"/>
              <w:ind w:left="617"/>
              <w:contextualSpacing/>
              <w:rPr>
                <w:rFonts w:ascii="Calibri" w:eastAsia="Times New Roman" w:hAnsi="Calibri" w:cs="Calibri"/>
                <w:color w:val="000000"/>
                <w:kern w:val="24"/>
              </w:rPr>
            </w:pPr>
            <w:r w:rsidRPr="00730C87">
              <w:rPr>
                <w:rFonts w:ascii="Calibri" w:eastAsia="Times New Roman" w:hAnsi="Calibri" w:cs="Calibri"/>
                <w:color w:val="000000"/>
                <w:kern w:val="24"/>
              </w:rPr>
              <w:t>Identify annual hours worked</w:t>
            </w:r>
          </w:p>
          <w:p w14:paraId="66436A56" w14:textId="77777777" w:rsidR="00610BE9" w:rsidRPr="00730C87" w:rsidRDefault="00610BE9" w:rsidP="00610BE9">
            <w:pPr>
              <w:numPr>
                <w:ilvl w:val="2"/>
                <w:numId w:val="40"/>
              </w:numPr>
              <w:spacing w:after="0"/>
              <w:ind w:left="617"/>
              <w:contextualSpacing/>
              <w:rPr>
                <w:rFonts w:ascii="Calibri" w:eastAsia="Times New Roman" w:hAnsi="Calibri" w:cs="Calibri"/>
              </w:rPr>
            </w:pPr>
            <w:r w:rsidRPr="00730C87">
              <w:rPr>
                <w:rFonts w:ascii="Calibri" w:eastAsia="Times New Roman" w:hAnsi="Calibri" w:cs="Calibri"/>
                <w:color w:val="000000"/>
                <w:kern w:val="24"/>
              </w:rPr>
              <w:t xml:space="preserve">Support escalation factors over typical 3-5% </w:t>
            </w:r>
          </w:p>
        </w:tc>
      </w:tr>
      <w:tr w:rsidR="00610BE9" w:rsidRPr="00730C87" w14:paraId="0205AC03" w14:textId="77777777" w:rsidTr="008014B2">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6D42E7CE"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lastRenderedPageBreak/>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AC3BBBA" w14:textId="77777777" w:rsidR="00610BE9" w:rsidRPr="00730C87" w:rsidRDefault="00610BE9" w:rsidP="008014B2">
            <w:pPr>
              <w:numPr>
                <w:ilvl w:val="0"/>
                <w:numId w:val="7"/>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Actual itemized receipts/invoices for airlines, hotels, etc.; reservation confirmation is not sufficient</w:t>
            </w:r>
          </w:p>
        </w:tc>
      </w:tr>
      <w:tr w:rsidR="00610BE9" w:rsidRPr="00730C87" w14:paraId="24B5AE64" w14:textId="77777777" w:rsidTr="008014B2">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EA48F9C"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7A262711" w14:textId="77777777" w:rsidR="00610BE9" w:rsidRPr="00730C87" w:rsidRDefault="00610BE9" w:rsidP="008014B2">
            <w:pPr>
              <w:numPr>
                <w:ilvl w:val="0"/>
                <w:numId w:val="8"/>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Receipts/invoices of actual costs from consultants; broken down by cost element, i.e., hours, rate, etc.</w:t>
            </w:r>
          </w:p>
        </w:tc>
      </w:tr>
      <w:tr w:rsidR="00610BE9" w:rsidRPr="00730C87" w14:paraId="51FE67D0" w14:textId="77777777" w:rsidTr="008014B2">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8EFE581"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Other 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56446206" w14:textId="77777777" w:rsidR="00610BE9" w:rsidRPr="00730C87" w:rsidRDefault="00610BE9" w:rsidP="008014B2">
            <w:pPr>
              <w:numPr>
                <w:ilvl w:val="0"/>
                <w:numId w:val="6"/>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Invoices/receipts from actual expenditures</w:t>
            </w:r>
          </w:p>
          <w:p w14:paraId="18716A0E" w14:textId="77777777" w:rsidR="00610BE9" w:rsidRPr="00730C87" w:rsidRDefault="00610BE9" w:rsidP="008014B2">
            <w:pPr>
              <w:numPr>
                <w:ilvl w:val="0"/>
                <w:numId w:val="5"/>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Policies identifying standard costs, e.g., tuition reimbursement rates or equipment use rates</w:t>
            </w:r>
          </w:p>
        </w:tc>
      </w:tr>
      <w:tr w:rsidR="00610BE9" w:rsidRPr="00730C87" w14:paraId="35ADB24E" w14:textId="77777777" w:rsidTr="008014B2">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7E17067"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0EA1F118"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Agreement (FPRA)</w:t>
            </w:r>
          </w:p>
          <w:p w14:paraId="75AAD8BE"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Negotiated Indirect Cost Rate Agreement (NICRA)</w:t>
            </w:r>
          </w:p>
          <w:p w14:paraId="3649E59D"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Recommendation (FPRR)</w:t>
            </w:r>
          </w:p>
          <w:p w14:paraId="4BFA83CA"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De minimis rate</w:t>
            </w:r>
          </w:p>
          <w:p w14:paraId="649EA85C" w14:textId="77777777" w:rsidR="00610BE9" w:rsidRPr="00730C87" w:rsidRDefault="00610BE9" w:rsidP="008014B2">
            <w:pPr>
              <w:spacing w:after="0"/>
              <w:contextualSpacing/>
              <w:rPr>
                <w:rFonts w:ascii="Calibri" w:eastAsia="Times New Roman" w:hAnsi="Calibri" w:cs="Calibri"/>
              </w:rPr>
            </w:pPr>
          </w:p>
        </w:tc>
      </w:tr>
      <w:tr w:rsidR="00610BE9" w:rsidRPr="00730C87" w14:paraId="129C5EF9" w14:textId="77777777" w:rsidTr="008014B2">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639E2EDA"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46785D34"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Subrecipient invoice</w:t>
            </w:r>
          </w:p>
        </w:tc>
      </w:tr>
    </w:tbl>
    <w:p w14:paraId="13F42A16" w14:textId="77777777" w:rsidR="00610BE9" w:rsidRPr="000D1BA7" w:rsidRDefault="00610BE9" w:rsidP="00610BE9">
      <w:pPr>
        <w:pStyle w:val="NoSpacing"/>
        <w:jc w:val="both"/>
        <w:rPr>
          <w:rFonts w:ascii="Calibri" w:hAnsi="Calibri" w:cs="Calibri"/>
          <w:sz w:val="24"/>
          <w:szCs w:val="24"/>
        </w:rPr>
      </w:pPr>
    </w:p>
    <w:p w14:paraId="18FF473D" w14:textId="77777777" w:rsidR="00610BE9" w:rsidRPr="00730C87" w:rsidRDefault="00610BE9" w:rsidP="00610BE9">
      <w:pPr>
        <w:spacing w:after="0"/>
        <w:rPr>
          <w:rFonts w:ascii="Calibri" w:hAnsi="Calibri" w:cs="Calibri"/>
        </w:rPr>
      </w:pPr>
      <w:r w:rsidRPr="00730C87">
        <w:rPr>
          <w:rFonts w:ascii="Calibri" w:hAnsi="Calibri" w:cs="Calibri"/>
        </w:rPr>
        <w:t>The following are best practices to consider:</w:t>
      </w:r>
    </w:p>
    <w:p w14:paraId="145CC04F"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If not clear from support, provide a detailed explanation of the methodology used to derive or calculate costs, e.g., highlighting fringe costs on a labor report that tie to the approved fringe rate.</w:t>
      </w:r>
    </w:p>
    <w:p w14:paraId="454A65AC"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If using screenshots, save the full screen shot including address, date, and other relevant information that can be tied to the source.</w:t>
      </w:r>
    </w:p>
    <w:p w14:paraId="522B628E"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Invoices should be an official vendor document.</w:t>
      </w:r>
    </w:p>
    <w:p w14:paraId="6570D114" w14:textId="77777777" w:rsidR="00610BE9" w:rsidRPr="00730C87" w:rsidRDefault="00610BE9" w:rsidP="00610BE9">
      <w:pPr>
        <w:pStyle w:val="NoSpacing"/>
        <w:rPr>
          <w:rFonts w:ascii="Calibri" w:hAnsi="Calibri" w:cs="Calibri"/>
        </w:rPr>
      </w:pPr>
    </w:p>
    <w:p w14:paraId="3411D0E5" w14:textId="77777777" w:rsidR="00610BE9" w:rsidRPr="00730C87" w:rsidRDefault="00610BE9" w:rsidP="00610BE9">
      <w:pPr>
        <w:spacing w:after="0"/>
        <w:rPr>
          <w:rFonts w:ascii="Calibri" w:hAnsi="Calibri" w:cs="Calibri"/>
          <w:b/>
        </w:rPr>
      </w:pPr>
      <w:r w:rsidRPr="00730C87">
        <w:rPr>
          <w:rFonts w:ascii="Calibri" w:hAnsi="Calibri" w:cs="Calibri"/>
          <w:b/>
        </w:rPr>
        <w:t xml:space="preserve">NOTE: Project Participants must retain relevant documentation and financial records for a period of </w:t>
      </w:r>
      <w:r>
        <w:rPr>
          <w:rFonts w:ascii="Calibri" w:hAnsi="Calibri" w:cs="Calibri"/>
          <w:b/>
        </w:rPr>
        <w:t>three (</w:t>
      </w:r>
      <w:r w:rsidRPr="00730C87">
        <w:rPr>
          <w:rFonts w:ascii="Calibri" w:hAnsi="Calibri" w:cs="Calibri"/>
          <w:b/>
        </w:rPr>
        <w:t>3</w:t>
      </w:r>
      <w:r>
        <w:rPr>
          <w:rFonts w:ascii="Calibri" w:hAnsi="Calibri" w:cs="Calibri"/>
          <w:b/>
        </w:rPr>
        <w:t>)</w:t>
      </w:r>
      <w:r w:rsidRPr="00730C87">
        <w:rPr>
          <w:rFonts w:ascii="Calibri" w:hAnsi="Calibri" w:cs="Calibri"/>
          <w:b/>
        </w:rPr>
        <w:t xml:space="preserve"> years after the date of the project closeout to support an audit or examination by MxD and/or US Government.</w:t>
      </w:r>
    </w:p>
    <w:p w14:paraId="2A87B8DC" w14:textId="77777777" w:rsidR="00610BE9" w:rsidRPr="000D1BA7" w:rsidRDefault="00610BE9" w:rsidP="00610BE9">
      <w:pPr>
        <w:pStyle w:val="NoSpacing"/>
        <w:rPr>
          <w:rFonts w:ascii="Calibri" w:hAnsi="Calibri" w:cs="Calibri"/>
          <w:sz w:val="24"/>
          <w:szCs w:val="24"/>
        </w:rPr>
      </w:pPr>
    </w:p>
    <w:p w14:paraId="33CB9754" w14:textId="77777777" w:rsidR="00610BE9" w:rsidRPr="00730C87" w:rsidRDefault="00610BE9" w:rsidP="00610BE9">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R</w:t>
      </w:r>
      <w:r>
        <w:rPr>
          <w:rFonts w:ascii="Calibri" w:hAnsi="Calibri" w:cs="Calibri"/>
          <w:b/>
          <w:bCs/>
          <w:i w:val="0"/>
          <w:iCs w:val="0"/>
          <w:sz w:val="22"/>
          <w:szCs w:val="22"/>
        </w:rPr>
        <w:t>ATE/BUDGET CHANGES (</w:t>
      </w:r>
      <w:r w:rsidRPr="00730C87">
        <w:rPr>
          <w:rFonts w:ascii="Calibri" w:hAnsi="Calibri" w:cs="Calibri"/>
          <w:b/>
          <w:bCs/>
          <w:i w:val="0"/>
          <w:iCs w:val="0"/>
          <w:sz w:val="22"/>
          <w:szCs w:val="22"/>
        </w:rPr>
        <w:t>N/A for FFP type contracts)</w:t>
      </w:r>
    </w:p>
    <w:p w14:paraId="24794F54" w14:textId="77777777" w:rsidR="00610BE9" w:rsidRPr="00730C87" w:rsidRDefault="00610BE9" w:rsidP="00610BE9">
      <w:pPr>
        <w:pStyle w:val="NoSpacing"/>
        <w:rPr>
          <w:rFonts w:ascii="Calibri" w:hAnsi="Calibri" w:cs="Calibri"/>
        </w:rPr>
      </w:pPr>
      <w:r w:rsidRPr="00730C87">
        <w:rPr>
          <w:rFonts w:ascii="Calibri" w:hAnsi="Calibri" w:cs="Calibri"/>
        </w:rPr>
        <w:t>For CR type contracts, MxD reviews costs to ensure they are within the approved budget.  Project Participants should notify MxD when they become aware of changes that meet the cost and technical factors below:</w:t>
      </w:r>
    </w:p>
    <w:p w14:paraId="5CE50CE0" w14:textId="77777777" w:rsidR="00610BE9" w:rsidRPr="00730C87" w:rsidRDefault="00610BE9" w:rsidP="00610BE9">
      <w:pPr>
        <w:pStyle w:val="NoSpacing"/>
        <w:numPr>
          <w:ilvl w:val="0"/>
          <w:numId w:val="17"/>
        </w:numPr>
        <w:rPr>
          <w:rFonts w:ascii="Calibri" w:hAnsi="Calibri" w:cs="Calibri"/>
        </w:rPr>
      </w:pPr>
      <w:r w:rsidRPr="00730C87">
        <w:rPr>
          <w:rFonts w:ascii="Calibri" w:hAnsi="Calibri" w:cs="Calibri"/>
        </w:rPr>
        <w:t>Cost amounts:</w:t>
      </w:r>
    </w:p>
    <w:p w14:paraId="5A2BD287"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Direct Labor Rates: changes that exceed the agreed upon/approved escalation factor(s).</w:t>
      </w:r>
    </w:p>
    <w:p w14:paraId="5E38671F"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All other costs: changes that affect a cost element (Direct labor, materials, ODCs, consultants, etc.) by more than 5%.</w:t>
      </w:r>
    </w:p>
    <w:p w14:paraId="34D9078C"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Indirect rates: changes to rate agreements with the Government.</w:t>
      </w:r>
    </w:p>
    <w:p w14:paraId="0503664C" w14:textId="77777777" w:rsidR="00610BE9" w:rsidRPr="00730C87" w:rsidRDefault="00610BE9" w:rsidP="00610BE9">
      <w:pPr>
        <w:pStyle w:val="NoSpacing"/>
        <w:numPr>
          <w:ilvl w:val="0"/>
          <w:numId w:val="17"/>
        </w:numPr>
        <w:rPr>
          <w:rFonts w:ascii="Calibri" w:hAnsi="Calibri" w:cs="Calibri"/>
        </w:rPr>
      </w:pPr>
      <w:r w:rsidRPr="00730C87">
        <w:rPr>
          <w:rFonts w:ascii="Calibri" w:hAnsi="Calibri" w:cs="Calibri"/>
        </w:rPr>
        <w:t>Technical factors:</w:t>
      </w:r>
    </w:p>
    <w:p w14:paraId="6E781C51"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 xml:space="preserve">Direct Labor: changes in labor categories, role of employees, and/or hours mix. </w:t>
      </w:r>
    </w:p>
    <w:p w14:paraId="10E33DCC"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Consultants: changes to scope of work or consultant.</w:t>
      </w:r>
    </w:p>
    <w:p w14:paraId="78C68403"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Travel: changes in the number of trips, personnel, nights, or location.</w:t>
      </w:r>
    </w:p>
    <w:p w14:paraId="72C35D2D"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 xml:space="preserve">Materials/Equipment/ODCs: changes to materials or equipment where impact is not negligible or equivalent replacement is not clear.  Changes to indicated purpose or use must be approved by MxD and the government </w:t>
      </w:r>
    </w:p>
    <w:p w14:paraId="4BDA6B60" w14:textId="77777777" w:rsidR="00610BE9" w:rsidRPr="00730C87" w:rsidRDefault="00610BE9" w:rsidP="00610BE9">
      <w:pPr>
        <w:pStyle w:val="NoSpacing"/>
        <w:rPr>
          <w:rFonts w:ascii="Calibri" w:hAnsi="Calibri" w:cs="Calibri"/>
        </w:rPr>
      </w:pPr>
    </w:p>
    <w:p w14:paraId="15562E99" w14:textId="77777777" w:rsidR="00610BE9" w:rsidRPr="00730C87" w:rsidRDefault="00610BE9" w:rsidP="00610BE9">
      <w:pPr>
        <w:pStyle w:val="NoSpacing"/>
        <w:rPr>
          <w:rFonts w:ascii="Calibri" w:hAnsi="Calibri" w:cs="Calibri"/>
        </w:rPr>
      </w:pPr>
      <w:r w:rsidRPr="00730C87">
        <w:rPr>
          <w:rFonts w:ascii="Calibri" w:hAnsi="Calibri" w:cs="Calibri"/>
        </w:rPr>
        <w:t>Communicating changes in budget are especially important if they alter the Federal/MxD vs. cost share ratio.</w:t>
      </w:r>
    </w:p>
    <w:p w14:paraId="26466C90" w14:textId="77777777" w:rsidR="00610BE9" w:rsidRPr="00730C87" w:rsidRDefault="00610BE9" w:rsidP="00610BE9">
      <w:pPr>
        <w:pStyle w:val="NoSpacing"/>
        <w:rPr>
          <w:rFonts w:ascii="Calibri" w:hAnsi="Calibri" w:cs="Calibri"/>
        </w:rPr>
      </w:pPr>
    </w:p>
    <w:p w14:paraId="76BFA700"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lastRenderedPageBreak/>
        <w:t>INVOICE PREPARATION/SUBMISSION</w:t>
      </w:r>
    </w:p>
    <w:p w14:paraId="3176B146" w14:textId="77777777" w:rsidR="00610BE9" w:rsidRPr="00730C87" w:rsidRDefault="00610BE9" w:rsidP="00610BE9">
      <w:pPr>
        <w:spacing w:after="0" w:line="240" w:lineRule="auto"/>
        <w:contextualSpacing/>
        <w:rPr>
          <w:rFonts w:eastAsia="Times New Roman" w:cstheme="minorHAnsi"/>
          <w:color w:val="000000"/>
        </w:rPr>
      </w:pPr>
      <w:r w:rsidRPr="00494690">
        <w:rPr>
          <w:rFonts w:eastAsia="Times New Roman" w:cstheme="minorHAnsi"/>
          <w:color w:val="000000"/>
        </w:rPr>
        <w:t xml:space="preserve">A </w:t>
      </w:r>
      <w:r w:rsidRPr="00730C87">
        <w:rPr>
          <w:rFonts w:eastAsia="Times New Roman" w:cstheme="minorHAnsi"/>
          <w:b/>
          <w:bCs/>
          <w:color w:val="000000"/>
        </w:rPr>
        <w:t xml:space="preserve">signed </w:t>
      </w:r>
      <w:r w:rsidRPr="00494690">
        <w:rPr>
          <w:rFonts w:eastAsia="Times New Roman" w:cstheme="minorHAnsi"/>
          <w:color w:val="000000"/>
        </w:rPr>
        <w:t>version of the MxD Invoice template is required.</w:t>
      </w:r>
      <w:r w:rsidRPr="00730C87">
        <w:rPr>
          <w:rFonts w:eastAsia="Times New Roman" w:cstheme="minorHAnsi"/>
          <w:color w:val="000000"/>
        </w:rPr>
        <w:t xml:space="preserve">  Follow the steps below to complete the invoice (Excel column/row reference):</w:t>
      </w:r>
    </w:p>
    <w:p w14:paraId="317B9117" w14:textId="77777777" w:rsidR="00610BE9" w:rsidRPr="00730C87" w:rsidRDefault="00610BE9" w:rsidP="00610BE9">
      <w:pPr>
        <w:spacing w:after="0" w:line="240" w:lineRule="auto"/>
        <w:contextualSpacing/>
        <w:rPr>
          <w:rFonts w:eastAsia="Times New Roman" w:cstheme="minorHAnsi"/>
          <w:color w:val="000000"/>
        </w:rPr>
      </w:pPr>
    </w:p>
    <w:p w14:paraId="6C79DDD8" w14:textId="77777777" w:rsidR="00610BE9" w:rsidRPr="00730C87" w:rsidRDefault="00610BE9" w:rsidP="00610BE9">
      <w:pPr>
        <w:spacing w:after="0" w:line="240" w:lineRule="auto"/>
        <w:contextualSpacing/>
        <w:rPr>
          <w:rFonts w:eastAsia="Times New Roman" w:cstheme="minorHAnsi"/>
          <w:color w:val="000000"/>
        </w:rPr>
      </w:pPr>
      <w:r w:rsidRPr="00730C87">
        <w:rPr>
          <w:rFonts w:eastAsia="Times New Roman" w:cstheme="minorHAnsi"/>
          <w:b/>
          <w:color w:val="000000"/>
        </w:rPr>
        <w:t xml:space="preserve">  Step 1</w:t>
      </w:r>
      <w:r w:rsidRPr="00730C87">
        <w:rPr>
          <w:rFonts w:eastAsia="Times New Roman" w:cstheme="minorHAnsi"/>
          <w:color w:val="000000"/>
        </w:rPr>
        <w:t>: Provide basic invoice information</w:t>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p>
    <w:p w14:paraId="1A40940B"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ID:</w:t>
      </w:r>
      <w:r w:rsidRPr="00730C87">
        <w:rPr>
          <w:rFonts w:asciiTheme="minorHAnsi" w:eastAsia="Times New Roman" w:hAnsiTheme="minorHAnsi" w:cstheme="minorHAnsi"/>
          <w:sz w:val="22"/>
          <w:szCs w:val="22"/>
        </w:rPr>
        <w:t xml:space="preserve"> "Invoice Number" and “Invoice Date” (Rows 4-5).</w:t>
      </w:r>
    </w:p>
    <w:p w14:paraId="3A7C251D"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Period of Performance:</w:t>
      </w:r>
      <w:r w:rsidRPr="00730C87">
        <w:rPr>
          <w:rFonts w:asciiTheme="minorHAnsi" w:eastAsia="Times New Roman" w:hAnsiTheme="minorHAnsi" w:cstheme="minorHAnsi"/>
          <w:sz w:val="22"/>
          <w:szCs w:val="22"/>
        </w:rPr>
        <w:t xml:space="preserve"> "Invoice Period" in the following format: MM/DD/YYYY - MM/DD/YYYY (Row 6).</w:t>
      </w:r>
    </w:p>
    <w:p w14:paraId="47A8AF70"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MxD Contract No.</w:t>
      </w:r>
      <w:r w:rsidRPr="00730C87">
        <w:rPr>
          <w:rFonts w:asciiTheme="minorHAnsi" w:eastAsia="Times New Roman" w:hAnsiTheme="minorHAnsi" w:cstheme="minorHAnsi"/>
          <w:sz w:val="22"/>
          <w:szCs w:val="22"/>
        </w:rPr>
        <w:t>: Found in the Enterprise Award Agreement.</w:t>
      </w:r>
    </w:p>
    <w:p w14:paraId="2D5F36BA"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ID:</w:t>
      </w:r>
      <w:r w:rsidRPr="00730C87">
        <w:rPr>
          <w:rFonts w:asciiTheme="minorHAnsi" w:eastAsia="Times New Roman" w:hAnsiTheme="minorHAnsi" w:cstheme="minorHAnsi"/>
          <w:sz w:val="22"/>
          <w:szCs w:val="22"/>
        </w:rPr>
        <w:t xml:space="preserve"> The MxD project number and project title (Rows 8-9).</w:t>
      </w:r>
    </w:p>
    <w:p w14:paraId="38C34BA5"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Participant</w:t>
      </w:r>
      <w:r w:rsidRPr="00730C87">
        <w:rPr>
          <w:rFonts w:asciiTheme="minorHAnsi" w:eastAsia="Times New Roman" w:hAnsiTheme="minorHAnsi" w:cstheme="minorHAnsi"/>
          <w:sz w:val="22"/>
          <w:szCs w:val="22"/>
        </w:rPr>
        <w:t>: Contact information for which payment of the invoice should be sent in the: “REMIT TO:” section (Rows 12-16).</w:t>
      </w:r>
    </w:p>
    <w:p w14:paraId="3739DD1F" w14:textId="77777777" w:rsidR="00610BE9" w:rsidRPr="00730C87" w:rsidRDefault="00610BE9" w:rsidP="00610BE9">
      <w:pPr>
        <w:spacing w:after="0" w:line="240" w:lineRule="auto"/>
        <w:rPr>
          <w:rFonts w:eastAsia="Times New Roman" w:cstheme="minorHAnsi"/>
          <w:b/>
          <w:bCs/>
          <w:color w:val="000000"/>
        </w:rPr>
      </w:pPr>
    </w:p>
    <w:p w14:paraId="41E4C27B" w14:textId="77777777" w:rsidR="00610BE9" w:rsidRPr="00730C87" w:rsidRDefault="00610BE9" w:rsidP="00610BE9">
      <w:pPr>
        <w:spacing w:after="0" w:line="240" w:lineRule="auto"/>
        <w:rPr>
          <w:rFonts w:eastAsia="Times New Roman" w:cstheme="minorHAnsi"/>
          <w:b/>
          <w:bCs/>
          <w:color w:val="000000"/>
          <w:u w:val="single"/>
        </w:rPr>
      </w:pPr>
      <w:r w:rsidRPr="00730C87">
        <w:rPr>
          <w:rFonts w:eastAsia="Times New Roman" w:cstheme="minorHAnsi"/>
          <w:b/>
          <w:bCs/>
          <w:color w:val="000000"/>
          <w:u w:val="single"/>
        </w:rPr>
        <w:t>FFP Contracts</w:t>
      </w:r>
      <w:r w:rsidRPr="00730C87">
        <w:rPr>
          <w:rFonts w:eastAsia="Times New Roman" w:cstheme="minorHAnsi"/>
          <w:color w:val="000000"/>
        </w:rPr>
        <w:t xml:space="preserve">: Total </w:t>
      </w:r>
      <w:r>
        <w:rPr>
          <w:rFonts w:eastAsia="Times New Roman" w:cstheme="minorHAnsi"/>
          <w:color w:val="000000"/>
        </w:rPr>
        <w:t>e</w:t>
      </w:r>
      <w:r w:rsidRPr="00730C87">
        <w:rPr>
          <w:rFonts w:eastAsia="Times New Roman" w:cstheme="minorHAnsi"/>
          <w:color w:val="000000"/>
        </w:rPr>
        <w:t>xpenses</w:t>
      </w:r>
      <w:r w:rsidRPr="00730C87">
        <w:rPr>
          <w:rFonts w:cstheme="minorHAnsi"/>
        </w:rPr>
        <w:t xml:space="preserve"> for Federal/MxD funds and cost share</w:t>
      </w:r>
      <w:r w:rsidRPr="00730C87">
        <w:rPr>
          <w:rFonts w:eastAsia="Times New Roman" w:cstheme="minorHAnsi"/>
          <w:color w:val="000000"/>
        </w:rPr>
        <w:t xml:space="preserve"> must match deliverable payment schedule (Row 45).</w:t>
      </w:r>
    </w:p>
    <w:p w14:paraId="0005C8D2" w14:textId="77777777" w:rsidR="00610BE9" w:rsidRPr="00730C87" w:rsidRDefault="00610BE9" w:rsidP="00610BE9">
      <w:pPr>
        <w:spacing w:after="0"/>
        <w:contextualSpacing/>
        <w:rPr>
          <w:rFonts w:cstheme="minorHAnsi"/>
          <w:highlight w:val="yellow"/>
          <w:u w:val="single"/>
        </w:rPr>
      </w:pPr>
      <w:r w:rsidRPr="00730C87">
        <w:rPr>
          <w:rFonts w:cstheme="minorHAnsi"/>
          <w:b/>
        </w:rPr>
        <w:t xml:space="preserve">  </w:t>
      </w:r>
    </w:p>
    <w:p w14:paraId="78F5D57C" w14:textId="77777777" w:rsidR="00610BE9" w:rsidRPr="00730C87" w:rsidRDefault="00610BE9" w:rsidP="00610BE9">
      <w:pPr>
        <w:spacing w:after="0" w:line="240" w:lineRule="auto"/>
        <w:rPr>
          <w:rFonts w:eastAsia="Times New Roman" w:cstheme="minorHAnsi"/>
          <w:color w:val="000000"/>
        </w:rPr>
      </w:pPr>
      <w:r w:rsidRPr="00730C87">
        <w:rPr>
          <w:rFonts w:eastAsia="Times New Roman" w:cstheme="minorHAnsi"/>
          <w:b/>
          <w:bCs/>
          <w:color w:val="000000"/>
          <w:u w:val="single"/>
        </w:rPr>
        <w:t>CR Contracts</w:t>
      </w:r>
      <w:r w:rsidRPr="00730C87">
        <w:rPr>
          <w:rFonts w:eastAsia="Times New Roman" w:cstheme="minorHAnsi"/>
          <w:color w:val="000000"/>
        </w:rPr>
        <w:t>:</w:t>
      </w:r>
    </w:p>
    <w:p w14:paraId="0A0BF4E8" w14:textId="77777777" w:rsidR="00610BE9" w:rsidRPr="00730C87" w:rsidRDefault="00610BE9" w:rsidP="00610BE9">
      <w:pPr>
        <w:spacing w:after="0"/>
        <w:contextualSpacing/>
        <w:rPr>
          <w:rFonts w:cstheme="minorHAnsi"/>
        </w:rPr>
      </w:pPr>
      <w:r w:rsidRPr="00730C87">
        <w:rPr>
          <w:rFonts w:cstheme="minorHAnsi"/>
          <w:b/>
        </w:rPr>
        <w:t xml:space="preserve">  Step 2</w:t>
      </w:r>
      <w:r w:rsidRPr="00730C87">
        <w:rPr>
          <w:rFonts w:cstheme="minorHAnsi"/>
        </w:rPr>
        <w:t>: Labor Costs</w:t>
      </w:r>
      <w:r w:rsidRPr="00730C87">
        <w:rPr>
          <w:rFonts w:cstheme="minorHAnsi"/>
        </w:rPr>
        <w:tab/>
      </w:r>
      <w:r w:rsidRPr="00730C87">
        <w:rPr>
          <w:rFonts w:cstheme="minorHAnsi"/>
        </w:rPr>
        <w:tab/>
      </w:r>
      <w:r w:rsidRPr="00730C87">
        <w:rPr>
          <w:rFonts w:cstheme="minorHAnsi"/>
        </w:rPr>
        <w:tab/>
      </w:r>
    </w:p>
    <w:p w14:paraId="07BF171D"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Identify labor rates/hours for each employee or salary band (Rows 23-28). Add rows as needed.</w:t>
      </w:r>
    </w:p>
    <w:p w14:paraId="48E67B2B"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Fringe:</w:t>
      </w:r>
      <w:r w:rsidRPr="00730C87">
        <w:rPr>
          <w:rFonts w:asciiTheme="minorHAnsi" w:hAnsiTheme="minorHAnsi" w:cstheme="minorHAnsi"/>
          <w:sz w:val="22"/>
          <w:szCs w:val="22"/>
        </w:rPr>
        <w:t xml:space="preserve"> Enter the fringe rate approved during cost analysis in the row for </w:t>
      </w:r>
      <w:r w:rsidRPr="00730C87">
        <w:rPr>
          <w:rFonts w:asciiTheme="minorHAnsi" w:hAnsiTheme="minorHAnsi" w:cstheme="minorHAnsi"/>
          <w:i/>
          <w:sz w:val="22"/>
          <w:szCs w:val="22"/>
        </w:rPr>
        <w:t>Applied Fringe</w:t>
      </w:r>
      <w:r w:rsidRPr="00730C87">
        <w:rPr>
          <w:rFonts w:asciiTheme="minorHAnsi" w:hAnsiTheme="minorHAnsi" w:cstheme="minorHAnsi"/>
          <w:sz w:val="22"/>
          <w:szCs w:val="22"/>
        </w:rPr>
        <w:t xml:space="preserve"> (Row 31).</w:t>
      </w:r>
    </w:p>
    <w:p w14:paraId="4D0FECF9" w14:textId="77777777" w:rsidR="00610BE9" w:rsidRPr="00730C87" w:rsidRDefault="00610BE9" w:rsidP="00610BE9">
      <w:pPr>
        <w:spacing w:after="0"/>
        <w:contextualSpacing/>
        <w:rPr>
          <w:rFonts w:cstheme="minorHAnsi"/>
        </w:rPr>
      </w:pPr>
      <w:r w:rsidRPr="00730C87">
        <w:rPr>
          <w:rFonts w:cstheme="minorHAnsi"/>
        </w:rPr>
        <w:t xml:space="preserve">   </w:t>
      </w:r>
      <w:r w:rsidRPr="00730C87">
        <w:rPr>
          <w:rFonts w:cstheme="minorHAnsi"/>
          <w:b/>
        </w:rPr>
        <w:t>Step 3</w:t>
      </w:r>
      <w:r w:rsidRPr="00730C87">
        <w:rPr>
          <w:rFonts w:cstheme="minorHAnsi"/>
        </w:rPr>
        <w:t>: Non-</w:t>
      </w:r>
      <w:r>
        <w:rPr>
          <w:rFonts w:cstheme="minorHAnsi"/>
        </w:rPr>
        <w:t>L</w:t>
      </w:r>
      <w:r w:rsidRPr="00730C87">
        <w:rPr>
          <w:rFonts w:cstheme="minorHAnsi"/>
        </w:rPr>
        <w:t xml:space="preserve">abor Costs </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7702E9D1"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Enter non-labor for the period in accordance with how the expenditures were classified in the project award (Rows 34-40 &amp; 44).</w:t>
      </w:r>
    </w:p>
    <w:p w14:paraId="45D0DD34"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Itemize contributions by subrecipient (Rows 38-40 &amp; 44).  Add rows as needed.</w:t>
      </w:r>
      <w:r w:rsidRPr="00730C87">
        <w:rPr>
          <w:rFonts w:asciiTheme="minorHAnsi" w:hAnsiTheme="minorHAnsi" w:cstheme="minorHAnsi"/>
          <w:sz w:val="22"/>
          <w:szCs w:val="22"/>
        </w:rPr>
        <w:tab/>
      </w:r>
    </w:p>
    <w:p w14:paraId="78C2EB7B" w14:textId="77777777" w:rsidR="00610BE9" w:rsidRPr="00730C87" w:rsidRDefault="00610BE9" w:rsidP="00610BE9">
      <w:pPr>
        <w:spacing w:after="0"/>
        <w:contextualSpacing/>
        <w:rPr>
          <w:rFonts w:cstheme="minorHAnsi"/>
        </w:rPr>
      </w:pPr>
      <w:r w:rsidRPr="00730C87">
        <w:rPr>
          <w:rFonts w:cstheme="minorHAnsi"/>
        </w:rPr>
        <w:t xml:space="preserve">   </w:t>
      </w:r>
      <w:r w:rsidRPr="00730C87">
        <w:rPr>
          <w:rFonts w:cstheme="minorHAnsi"/>
          <w:b/>
        </w:rPr>
        <w:t>Step 4:</w:t>
      </w:r>
      <w:r w:rsidRPr="00730C87">
        <w:rPr>
          <w:rFonts w:cstheme="minorHAnsi"/>
        </w:rPr>
        <w:t xml:space="preserve"> Indirect Cost Rates</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68D0B47C"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Rate(s) Input:</w:t>
      </w:r>
      <w:r w:rsidRPr="00730C87">
        <w:rPr>
          <w:rFonts w:asciiTheme="minorHAnsi" w:hAnsiTheme="minorHAnsi" w:cstheme="minorHAnsi"/>
          <w:sz w:val="22"/>
          <w:szCs w:val="22"/>
        </w:rPr>
        <w:t xml:space="preserve"> Enter the rate(s) approved during cost analysis for Overhead and G&amp;A (Rows 32 &amp; 43).</w:t>
      </w:r>
    </w:p>
    <w:p w14:paraId="29A8DAFB"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Additional Rates:</w:t>
      </w:r>
      <w:r w:rsidRPr="00730C87">
        <w:rPr>
          <w:rFonts w:asciiTheme="minorHAnsi" w:hAnsiTheme="minorHAnsi" w:cstheme="minorHAnsi"/>
          <w:sz w:val="22"/>
          <w:szCs w:val="22"/>
        </w:rPr>
        <w:t xml:space="preserve"> As necessary, Project Participants may insert additional rows for other indirect rates beyond the standard Overhead and G&amp;A rates only if identified in the authorized project budget.  Changing calculations to align with Project Participants methodology may be required.</w:t>
      </w:r>
    </w:p>
    <w:p w14:paraId="4DE5922B" w14:textId="77777777" w:rsidR="00610BE9" w:rsidRPr="00730C87" w:rsidRDefault="00610BE9" w:rsidP="00610BE9">
      <w:pPr>
        <w:spacing w:after="0"/>
        <w:rPr>
          <w:rFonts w:cstheme="minorHAnsi"/>
          <w:u w:val="single"/>
        </w:rPr>
      </w:pPr>
    </w:p>
    <w:p w14:paraId="7B25644B" w14:textId="77777777" w:rsidR="00610BE9" w:rsidRPr="00730C87" w:rsidRDefault="00610BE9" w:rsidP="00610BE9">
      <w:pPr>
        <w:spacing w:after="0"/>
        <w:rPr>
          <w:rFonts w:cstheme="minorHAnsi"/>
        </w:rPr>
      </w:pPr>
      <w:r w:rsidRPr="00730C87">
        <w:rPr>
          <w:rFonts w:cstheme="minorHAnsi"/>
        </w:rPr>
        <w:t>Segregate costs between Federal/MxD funds (Columns D-F) and cost share (Columns G-I) contributions.  Itemize cost share contribution by expense category.</w:t>
      </w:r>
    </w:p>
    <w:p w14:paraId="648587EE" w14:textId="77777777" w:rsidR="00610BE9" w:rsidRPr="00730C87" w:rsidRDefault="00610BE9" w:rsidP="00610BE9">
      <w:pPr>
        <w:pStyle w:val="NoSpacing"/>
        <w:rPr>
          <w:rFonts w:cstheme="minorHAnsi"/>
          <w:u w:val="single"/>
        </w:rPr>
      </w:pPr>
    </w:p>
    <w:p w14:paraId="71BCAADF" w14:textId="77777777" w:rsidR="00610BE9" w:rsidRPr="00730C87" w:rsidRDefault="00610BE9" w:rsidP="00610BE9">
      <w:pPr>
        <w:pStyle w:val="NoSpacing"/>
        <w:rPr>
          <w:rFonts w:cstheme="minorHAnsi"/>
        </w:rPr>
      </w:pPr>
      <w:r w:rsidRPr="00730C87">
        <w:rPr>
          <w:rFonts w:cstheme="minorHAnsi"/>
          <w:b/>
          <w:bCs/>
          <w:u w:val="single"/>
        </w:rPr>
        <w:t>Final Indirect Rates:</w:t>
      </w:r>
      <w:r w:rsidRPr="00730C87">
        <w:rPr>
          <w:rFonts w:cstheme="minorHAnsi"/>
        </w:rPr>
        <w:t xml:space="preserve"> Project Participants may invoice unsettled costs as part of the final invoice and true-up process for up to 60 calendar days after award end date. </w:t>
      </w:r>
    </w:p>
    <w:p w14:paraId="6DF41F0D" w14:textId="77777777" w:rsidR="00610BE9" w:rsidRPr="00730C87" w:rsidRDefault="00610BE9" w:rsidP="00610BE9">
      <w:pPr>
        <w:pStyle w:val="NoSpacing"/>
        <w:rPr>
          <w:rFonts w:eastAsia="Meiryo" w:cstheme="minorHAnsi"/>
          <w:color w:val="000000" w:themeColor="text1"/>
          <w:spacing w:val="1"/>
        </w:rPr>
      </w:pPr>
    </w:p>
    <w:p w14:paraId="4958213F" w14:textId="77777777" w:rsidR="00610BE9" w:rsidRPr="00730C87" w:rsidRDefault="00610BE9" w:rsidP="00610BE9">
      <w:pPr>
        <w:widowControl w:val="0"/>
        <w:autoSpaceDE w:val="0"/>
        <w:autoSpaceDN w:val="0"/>
        <w:adjustRightInd w:val="0"/>
        <w:spacing w:after="0" w:line="259" w:lineRule="auto"/>
        <w:ind w:right="-20"/>
        <w:rPr>
          <w:rFonts w:eastAsia="Meiryo" w:cstheme="minorHAnsi"/>
          <w:b/>
          <w:color w:val="000000" w:themeColor="text1"/>
          <w:spacing w:val="1"/>
          <w:u w:val="single"/>
        </w:rPr>
      </w:pPr>
      <w:r w:rsidRPr="00730C87">
        <w:rPr>
          <w:rFonts w:eastAsia="Meiryo" w:cstheme="minorHAnsi"/>
          <w:b/>
          <w:color w:val="000000" w:themeColor="text1"/>
          <w:spacing w:val="1"/>
          <w:u w:val="single"/>
        </w:rPr>
        <w:t>Certifications</w:t>
      </w:r>
    </w:p>
    <w:p w14:paraId="55003A8A" w14:textId="77777777" w:rsidR="00610BE9" w:rsidRPr="00730C87" w:rsidRDefault="00610BE9" w:rsidP="00610BE9">
      <w:pPr>
        <w:widowControl w:val="0"/>
        <w:autoSpaceDE w:val="0"/>
        <w:autoSpaceDN w:val="0"/>
        <w:adjustRightInd w:val="0"/>
        <w:spacing w:after="0" w:line="259" w:lineRule="auto"/>
        <w:ind w:right="-20"/>
        <w:rPr>
          <w:rFonts w:eastAsia="Meiryo" w:cstheme="minorHAnsi"/>
          <w:color w:val="000000" w:themeColor="text1"/>
        </w:rPr>
      </w:pPr>
      <w:r w:rsidRPr="00730C87">
        <w:rPr>
          <w:rFonts w:eastAsia="Meiryo" w:cstheme="minorHAnsi"/>
          <w:color w:val="000000" w:themeColor="text1"/>
          <w:spacing w:val="1"/>
        </w:rPr>
        <w:t>Any applicable updates should be made to the certifications in the template based on the contract type and guiding cost principles, i.e., change “[Insert Project Participant Name]” to the name of the invoicing organization.</w:t>
      </w:r>
    </w:p>
    <w:p w14:paraId="04D29302" w14:textId="77777777" w:rsidR="00610BE9" w:rsidRPr="00730C87" w:rsidRDefault="00610BE9" w:rsidP="00610BE9">
      <w:pPr>
        <w:widowControl w:val="0"/>
        <w:autoSpaceDE w:val="0"/>
        <w:autoSpaceDN w:val="0"/>
        <w:adjustRightInd w:val="0"/>
        <w:spacing w:after="0"/>
        <w:ind w:right="199"/>
        <w:rPr>
          <w:rFonts w:eastAsia="Meiryo" w:cstheme="minorHAnsi"/>
          <w:color w:val="000000" w:themeColor="text1"/>
        </w:rPr>
      </w:pPr>
    </w:p>
    <w:p w14:paraId="1D5E6329"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lastRenderedPageBreak/>
        <w:t>FINAL INVOICE</w:t>
      </w:r>
    </w:p>
    <w:p w14:paraId="490ECE8C" w14:textId="77777777" w:rsidR="00610BE9" w:rsidRPr="00730C87" w:rsidRDefault="00610BE9" w:rsidP="00610BE9">
      <w:pPr>
        <w:spacing w:after="0" w:line="240" w:lineRule="auto"/>
        <w:contextualSpacing/>
        <w:rPr>
          <w:rFonts w:eastAsia="Times New Roman" w:cstheme="minorHAnsi"/>
          <w:color w:val="000000"/>
        </w:rPr>
      </w:pPr>
      <w:r w:rsidRPr="00730C87">
        <w:rPr>
          <w:rFonts w:eastAsia="Times New Roman" w:cstheme="minorHAnsi"/>
          <w:color w:val="000000"/>
        </w:rPr>
        <w:t>Project Participants submit the following to MxD within 60 days of physical completion of the project for closeout:</w:t>
      </w:r>
    </w:p>
    <w:p w14:paraId="5816A29B" w14:textId="77777777" w:rsidR="00610BE9" w:rsidRPr="00730C87" w:rsidRDefault="00610BE9" w:rsidP="00610BE9">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Final Invoice:</w:t>
      </w:r>
      <w:r w:rsidRPr="00730C87">
        <w:rPr>
          <w:rFonts w:asciiTheme="minorHAnsi" w:eastAsia="Times New Roman" w:hAnsiTheme="minorHAnsi" w:cstheme="minorHAnsi"/>
          <w:sz w:val="22"/>
          <w:szCs w:val="22"/>
        </w:rPr>
        <w:t xml:space="preserve"> Final invoices should contain any unbilled costs incurred for project completion and be identified as “Final Invoice”, in addition to containing the same details applicable to all invoices.</w:t>
      </w:r>
    </w:p>
    <w:p w14:paraId="7768F4AA" w14:textId="77777777" w:rsidR="00610BE9" w:rsidRPr="00730C87" w:rsidRDefault="00610BE9" w:rsidP="00610BE9">
      <w:pPr>
        <w:spacing w:after="0" w:line="240" w:lineRule="auto"/>
        <w:ind w:left="1080"/>
        <w:rPr>
          <w:rFonts w:eastAsia="Times New Roman" w:cstheme="minorHAnsi"/>
          <w:color w:val="000000"/>
        </w:rPr>
      </w:pPr>
      <w:r w:rsidRPr="00730C87">
        <w:rPr>
          <w:rFonts w:eastAsia="Times New Roman" w:cstheme="minorHAnsi"/>
          <w:color w:val="000000"/>
        </w:rPr>
        <w:t>For CR type contracts:</w:t>
      </w:r>
    </w:p>
    <w:p w14:paraId="107F0E3A" w14:textId="77777777" w:rsidR="00610BE9" w:rsidRPr="00730C87" w:rsidRDefault="00610BE9" w:rsidP="00610BE9">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without an indirect rate agreement with the Government will provide their actual indirect cost rates for the period detailing the cost pools and bases used.  MxD will analyze that the rates are fair and reasonable.  Updated rates will be accounted for during the true-up process contingent upon MxD’s unilateral approval.</w:t>
      </w:r>
    </w:p>
    <w:p w14:paraId="75519345" w14:textId="77777777" w:rsidR="00610BE9" w:rsidRPr="00730C87" w:rsidRDefault="00610BE9" w:rsidP="00610BE9">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 Government approved finalized indirect rate agreements will provide the agreement(s) covering the period of performance.</w:t>
      </w:r>
    </w:p>
    <w:p w14:paraId="558BB3DA" w14:textId="77777777" w:rsidR="00610BE9" w:rsidRPr="00730C87" w:rsidRDefault="00610BE9" w:rsidP="00610BE9">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Summary:</w:t>
      </w:r>
      <w:r w:rsidRPr="00730C87">
        <w:rPr>
          <w:rFonts w:asciiTheme="minorHAnsi" w:eastAsia="Times New Roman" w:hAnsiTheme="minorHAnsi" w:cstheme="minorHAnsi"/>
          <w:sz w:val="22"/>
          <w:szCs w:val="22"/>
        </w:rPr>
        <w:t xml:space="preserve"> Include cumulative total of all costs incurred and billed to date (not including the final invoice) by cost element for both Federal/MxD and cost share.</w:t>
      </w:r>
    </w:p>
    <w:p w14:paraId="6B7FA0B6" w14:textId="77777777" w:rsidR="00610BE9" w:rsidRPr="00730C87" w:rsidRDefault="00610BE9" w:rsidP="00610BE9">
      <w:pPr>
        <w:spacing w:after="0" w:line="240" w:lineRule="auto"/>
        <w:rPr>
          <w:rFonts w:eastAsia="Times New Roman" w:cstheme="minorHAnsi"/>
          <w:color w:val="000000"/>
        </w:rPr>
      </w:pPr>
    </w:p>
    <w:p w14:paraId="1A456340" w14:textId="77777777" w:rsidR="00610BE9" w:rsidRPr="00730C87" w:rsidRDefault="00610BE9" w:rsidP="00610BE9">
      <w:pPr>
        <w:spacing w:after="0" w:line="240" w:lineRule="auto"/>
        <w:rPr>
          <w:rFonts w:eastAsia="Times New Roman" w:cstheme="minorHAnsi"/>
          <w:color w:val="000000"/>
        </w:rPr>
      </w:pPr>
      <w:r w:rsidRPr="00730C87">
        <w:rPr>
          <w:rFonts w:eastAsia="Times New Roman" w:cstheme="minorHAnsi"/>
          <w:color w:val="000000" w:themeColor="text1"/>
        </w:rPr>
        <w:t>MxD reviews the above materials and coordinates with Project Participants to true-up any costs not yet reimbursed. MxD notifies the Project Participant to submit the Project Participant Release Form (Attachment 2) to MxD once all claims settled.</w:t>
      </w:r>
    </w:p>
    <w:p w14:paraId="72FD4EE9" w14:textId="77777777" w:rsidR="00610BE9" w:rsidRPr="00730C87" w:rsidRDefault="00610BE9" w:rsidP="00610BE9">
      <w:pPr>
        <w:spacing w:after="0" w:line="240" w:lineRule="auto"/>
        <w:rPr>
          <w:rFonts w:eastAsia="Times New Roman" w:cstheme="minorHAnsi"/>
          <w:bCs/>
          <w:color w:val="000000"/>
        </w:rPr>
      </w:pPr>
    </w:p>
    <w:p w14:paraId="7AC9377A" w14:textId="77777777" w:rsidR="00610BE9" w:rsidRPr="00730C87" w:rsidRDefault="00610BE9" w:rsidP="00610BE9">
      <w:pPr>
        <w:spacing w:after="0" w:line="240" w:lineRule="auto"/>
        <w:rPr>
          <w:rFonts w:cstheme="minorHAnsi"/>
        </w:rPr>
      </w:pPr>
      <w:r w:rsidRPr="00730C87">
        <w:rPr>
          <w:rFonts w:eastAsia="Times New Roman" w:cstheme="minorHAnsi"/>
          <w:color w:val="000000"/>
        </w:rPr>
        <w:t xml:space="preserve">MxD may request an audit to close-out a project in accordance with the contract.  Project Participants must comply with </w:t>
      </w:r>
      <w:r w:rsidRPr="00730C87">
        <w:rPr>
          <w:rFonts w:cstheme="minorHAnsi"/>
        </w:rPr>
        <w:t>the audit requirements appropriate for the type of entity receiving the award as required.</w:t>
      </w:r>
    </w:p>
    <w:p w14:paraId="146246D3" w14:textId="77777777" w:rsidR="00610BE9" w:rsidRPr="00730C87" w:rsidRDefault="00610BE9" w:rsidP="00610BE9">
      <w:pPr>
        <w:spacing w:after="0" w:line="240" w:lineRule="auto"/>
        <w:rPr>
          <w:rFonts w:eastAsia="Times New Roman" w:cstheme="minorHAnsi"/>
          <w:b/>
          <w:color w:val="000000"/>
        </w:rPr>
      </w:pPr>
    </w:p>
    <w:p w14:paraId="1943B7BD" w14:textId="77777777" w:rsidR="00610BE9" w:rsidRPr="00730C87" w:rsidRDefault="00610BE9" w:rsidP="00610BE9">
      <w:pPr>
        <w:spacing w:after="0" w:line="240" w:lineRule="auto"/>
        <w:rPr>
          <w:rFonts w:ascii="Calibri" w:eastAsia="Times New Roman" w:hAnsi="Calibri" w:cs="Calibri"/>
          <w:b/>
          <w:color w:val="000000"/>
        </w:rPr>
      </w:pPr>
      <w:r w:rsidRPr="00730C87">
        <w:rPr>
          <w:rFonts w:eastAsia="Times New Roman" w:cstheme="minorHAnsi"/>
          <w:b/>
          <w:color w:val="000000"/>
        </w:rPr>
        <w:t xml:space="preserve">NOTE: </w:t>
      </w:r>
      <w:r w:rsidRPr="00730C87">
        <w:rPr>
          <w:rFonts w:eastAsia="Meiryo" w:cstheme="minorHAnsi"/>
          <w:b/>
          <w:spacing w:val="2"/>
        </w:rPr>
        <w:t>F</w:t>
      </w:r>
      <w:r w:rsidRPr="00730C87">
        <w:rPr>
          <w:rFonts w:eastAsia="Meiryo" w:cstheme="minorHAnsi"/>
          <w:b/>
        </w:rPr>
        <w:t>i</w:t>
      </w:r>
      <w:r w:rsidRPr="00730C87">
        <w:rPr>
          <w:rFonts w:eastAsia="Meiryo" w:cstheme="minorHAnsi"/>
          <w:b/>
          <w:spacing w:val="-1"/>
        </w:rPr>
        <w:t>n</w:t>
      </w:r>
      <w:r w:rsidRPr="00730C87">
        <w:rPr>
          <w:rFonts w:eastAsia="Meiryo" w:cstheme="minorHAnsi"/>
          <w:b/>
          <w:spacing w:val="1"/>
        </w:rPr>
        <w:t>a</w:t>
      </w:r>
      <w:r w:rsidRPr="00730C87">
        <w:rPr>
          <w:rFonts w:eastAsia="Meiryo" w:cstheme="minorHAnsi"/>
          <w:b/>
        </w:rPr>
        <w:t xml:space="preserve">l </w:t>
      </w:r>
      <w:r w:rsidRPr="00730C87">
        <w:rPr>
          <w:rFonts w:eastAsia="Meiryo" w:cstheme="minorHAnsi"/>
          <w:b/>
          <w:spacing w:val="1"/>
        </w:rPr>
        <w:t>pa</w:t>
      </w:r>
      <w:r w:rsidRPr="00730C87">
        <w:rPr>
          <w:rFonts w:eastAsia="Meiryo" w:cstheme="minorHAnsi"/>
          <w:b/>
          <w:spacing w:val="-2"/>
        </w:rPr>
        <w:t>y</w:t>
      </w:r>
      <w:r w:rsidRPr="00730C87">
        <w:rPr>
          <w:rFonts w:eastAsia="Meiryo" w:cstheme="minorHAnsi"/>
          <w:b/>
          <w:spacing w:val="2"/>
        </w:rPr>
        <w:t>m</w:t>
      </w:r>
      <w:r w:rsidRPr="00730C87">
        <w:rPr>
          <w:rFonts w:eastAsia="Meiryo" w:cstheme="minorHAnsi"/>
          <w:b/>
          <w:spacing w:val="-1"/>
        </w:rPr>
        <w:t>e</w:t>
      </w:r>
      <w:r w:rsidRPr="00730C87">
        <w:rPr>
          <w:rFonts w:eastAsia="Meiryo" w:cstheme="minorHAnsi"/>
          <w:b/>
          <w:spacing w:val="1"/>
        </w:rPr>
        <w:t>n</w:t>
      </w:r>
      <w:r w:rsidRPr="00730C87">
        <w:rPr>
          <w:rFonts w:eastAsia="Meiryo" w:cstheme="minorHAnsi"/>
          <w:b/>
        </w:rPr>
        <w:t>t</w:t>
      </w:r>
      <w:r w:rsidRPr="00730C87">
        <w:rPr>
          <w:rFonts w:eastAsia="Meiryo" w:cstheme="minorHAnsi"/>
          <w:b/>
          <w:spacing w:val="1"/>
        </w:rPr>
        <w:t xml:space="preserve"> </w:t>
      </w:r>
      <w:r w:rsidRPr="00730C87">
        <w:rPr>
          <w:rFonts w:eastAsia="Meiryo" w:cstheme="minorHAnsi"/>
          <w:b/>
        </w:rPr>
        <w:t>will</w:t>
      </w:r>
      <w:r w:rsidRPr="00730C87">
        <w:rPr>
          <w:rFonts w:eastAsia="Meiryo" w:cstheme="minorHAnsi"/>
          <w:b/>
          <w:spacing w:val="-1"/>
        </w:rPr>
        <w:t xml:space="preserve"> </w:t>
      </w:r>
      <w:r w:rsidRPr="00730C87">
        <w:rPr>
          <w:rFonts w:eastAsia="Meiryo" w:cstheme="minorHAnsi"/>
          <w:b/>
          <w:spacing w:val="1"/>
        </w:rPr>
        <w:t>on</w:t>
      </w:r>
      <w:r w:rsidRPr="00730C87">
        <w:rPr>
          <w:rFonts w:eastAsia="Meiryo" w:cstheme="minorHAnsi"/>
          <w:b/>
        </w:rPr>
        <w:t>ly</w:t>
      </w:r>
      <w:r w:rsidRPr="00730C87">
        <w:rPr>
          <w:rFonts w:eastAsia="Meiryo" w:cstheme="minorHAnsi"/>
          <w:b/>
          <w:spacing w:val="-2"/>
        </w:rPr>
        <w:t xml:space="preserve"> </w:t>
      </w:r>
      <w:r w:rsidRPr="00730C87">
        <w:rPr>
          <w:rFonts w:eastAsia="Meiryo" w:cstheme="minorHAnsi"/>
          <w:b/>
          <w:spacing w:val="1"/>
        </w:rPr>
        <w:t>b</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m</w:t>
      </w:r>
      <w:r w:rsidRPr="00730C87">
        <w:rPr>
          <w:rFonts w:eastAsia="Meiryo" w:cstheme="minorHAnsi"/>
          <w:b/>
          <w:spacing w:val="1"/>
        </w:rPr>
        <w:t>a</w:t>
      </w:r>
      <w:r w:rsidRPr="00730C87">
        <w:rPr>
          <w:rFonts w:eastAsia="Meiryo" w:cstheme="minorHAnsi"/>
          <w:b/>
          <w:spacing w:val="-1"/>
        </w:rPr>
        <w:t>d</w:t>
      </w:r>
      <w:r w:rsidRPr="00730C87">
        <w:rPr>
          <w:rFonts w:eastAsia="Meiryo" w:cstheme="minorHAnsi"/>
          <w:b/>
        </w:rPr>
        <w:t>e by MxD</w:t>
      </w:r>
      <w:r w:rsidRPr="00730C87">
        <w:rPr>
          <w:rFonts w:eastAsia="Meiryo" w:cstheme="minorHAnsi"/>
          <w:b/>
          <w:spacing w:val="1"/>
        </w:rPr>
        <w:t xml:space="preserve"> </w:t>
      </w:r>
      <w:r w:rsidRPr="00730C87">
        <w:rPr>
          <w:rFonts w:eastAsia="Meiryo" w:cstheme="minorHAnsi"/>
          <w:b/>
          <w:spacing w:val="-3"/>
        </w:rPr>
        <w:t>i</w:t>
      </w:r>
      <w:r w:rsidRPr="00730C87">
        <w:rPr>
          <w:rFonts w:eastAsia="Meiryo" w:cstheme="minorHAnsi"/>
          <w:b/>
        </w:rPr>
        <w:t>f</w:t>
      </w:r>
      <w:r w:rsidRPr="00730C87">
        <w:rPr>
          <w:rFonts w:eastAsia="Meiryo" w:cstheme="minorHAnsi"/>
          <w:b/>
          <w:spacing w:val="3"/>
        </w:rPr>
        <w:t xml:space="preserve"> </w:t>
      </w:r>
      <w:r w:rsidRPr="00730C87">
        <w:rPr>
          <w:rFonts w:eastAsia="Meiryo" w:cstheme="minorHAnsi"/>
          <w:b/>
          <w:spacing w:val="-2"/>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r</w:t>
      </w:r>
      <w:r w:rsidRPr="00730C87">
        <w:rPr>
          <w:rFonts w:eastAsia="Meiryo" w:cstheme="minorHAnsi"/>
          <w:b/>
          <w:spacing w:val="1"/>
        </w:rPr>
        <w:t>a</w:t>
      </w:r>
      <w:r w:rsidRPr="00730C87">
        <w:rPr>
          <w:rFonts w:eastAsia="Meiryo" w:cstheme="minorHAnsi"/>
          <w:b/>
        </w:rPr>
        <w:t>t</w:t>
      </w:r>
      <w:r w:rsidRPr="00730C87">
        <w:rPr>
          <w:rFonts w:eastAsia="Meiryo" w:cstheme="minorHAnsi"/>
          <w:b/>
          <w:spacing w:val="-3"/>
        </w:rPr>
        <w:t>i</w:t>
      </w:r>
      <w:r w:rsidRPr="00730C87">
        <w:rPr>
          <w:rFonts w:eastAsia="Meiryo" w:cstheme="minorHAnsi"/>
          <w:b/>
        </w:rPr>
        <w:t>o</w:t>
      </w:r>
      <w:r w:rsidRPr="00730C87">
        <w:rPr>
          <w:rFonts w:eastAsia="Meiryo" w:cstheme="minorHAnsi"/>
          <w:b/>
          <w:spacing w:val="1"/>
        </w:rPr>
        <w:t xml:space="preserve"> o</w:t>
      </w:r>
      <w:r w:rsidRPr="00730C87">
        <w:rPr>
          <w:rFonts w:eastAsia="Meiryo" w:cstheme="minorHAnsi"/>
          <w:b/>
        </w:rPr>
        <w:t xml:space="preserve">r </w:t>
      </w:r>
      <w:r w:rsidRPr="00730C87">
        <w:rPr>
          <w:rFonts w:eastAsia="Meiryo" w:cstheme="minorHAnsi"/>
          <w:b/>
          <w:spacing w:val="-1"/>
        </w:rPr>
        <w:t>p</w:t>
      </w:r>
      <w:r w:rsidRPr="00730C87">
        <w:rPr>
          <w:rFonts w:eastAsia="Meiryo" w:cstheme="minorHAnsi"/>
          <w:b/>
          <w:spacing w:val="1"/>
        </w:rPr>
        <w:t>e</w:t>
      </w:r>
      <w:r w:rsidRPr="00730C87">
        <w:rPr>
          <w:rFonts w:eastAsia="Meiryo" w:cstheme="minorHAnsi"/>
          <w:b/>
          <w:spacing w:val="-1"/>
        </w:rPr>
        <w:t>r</w:t>
      </w:r>
      <w:r w:rsidRPr="00730C87">
        <w:rPr>
          <w:rFonts w:eastAsia="Meiryo" w:cstheme="minorHAnsi"/>
          <w:b/>
        </w:rPr>
        <w:t>c</w:t>
      </w:r>
      <w:r w:rsidRPr="00730C87">
        <w:rPr>
          <w:rFonts w:eastAsia="Meiryo" w:cstheme="minorHAnsi"/>
          <w:b/>
          <w:spacing w:val="1"/>
        </w:rPr>
        <w:t>en</w:t>
      </w:r>
      <w:r w:rsidRPr="00730C87">
        <w:rPr>
          <w:rFonts w:eastAsia="Meiryo" w:cstheme="minorHAnsi"/>
          <w:b/>
          <w:spacing w:val="-2"/>
        </w:rPr>
        <w:t>t</w:t>
      </w:r>
      <w:r w:rsidRPr="00730C87">
        <w:rPr>
          <w:rFonts w:eastAsia="Meiryo" w:cstheme="minorHAnsi"/>
          <w:b/>
          <w:spacing w:val="1"/>
        </w:rPr>
        <w:t>a</w:t>
      </w:r>
      <w:r w:rsidRPr="00730C87">
        <w:rPr>
          <w:rFonts w:eastAsia="Meiryo" w:cstheme="minorHAnsi"/>
          <w:b/>
          <w:spacing w:val="-1"/>
        </w:rPr>
        <w:t>g</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o</w:t>
      </w:r>
      <w:r w:rsidRPr="00730C87">
        <w:rPr>
          <w:rFonts w:eastAsia="Meiryo" w:cstheme="minorHAnsi"/>
          <w:b/>
        </w:rPr>
        <w:t>f</w:t>
      </w:r>
      <w:r w:rsidRPr="00730C87">
        <w:rPr>
          <w:rFonts w:eastAsia="Meiryo" w:cstheme="minorHAnsi"/>
          <w:b/>
          <w:spacing w:val="3"/>
        </w:rPr>
        <w:t xml:space="preserve"> C</w:t>
      </w:r>
      <w:r w:rsidRPr="00730C87">
        <w:rPr>
          <w:rFonts w:eastAsia="Meiryo" w:cstheme="minorHAnsi"/>
          <w:b/>
          <w:spacing w:val="1"/>
        </w:rPr>
        <w:t>o</w:t>
      </w:r>
      <w:r w:rsidRPr="00730C87">
        <w:rPr>
          <w:rFonts w:eastAsia="Meiryo" w:cstheme="minorHAnsi"/>
          <w:b/>
        </w:rPr>
        <w:t>st</w:t>
      </w:r>
      <w:r w:rsidRPr="00730C87">
        <w:rPr>
          <w:rFonts w:eastAsia="Meiryo" w:cstheme="minorHAnsi"/>
          <w:b/>
          <w:spacing w:val="-1"/>
        </w:rPr>
        <w:t xml:space="preserve"> S</w:t>
      </w:r>
      <w:r w:rsidRPr="00730C87">
        <w:rPr>
          <w:rFonts w:eastAsia="Meiryo" w:cstheme="minorHAnsi"/>
          <w:b/>
          <w:spacing w:val="1"/>
        </w:rPr>
        <w:t>ha</w:t>
      </w:r>
      <w:r w:rsidRPr="00730C87">
        <w:rPr>
          <w:rFonts w:eastAsia="Meiryo" w:cstheme="minorHAnsi"/>
          <w:b/>
          <w:spacing w:val="-1"/>
        </w:rPr>
        <w:t xml:space="preserve">re </w:t>
      </w:r>
      <w:r w:rsidRPr="00730C87">
        <w:rPr>
          <w:rFonts w:eastAsia="Meiryo" w:cstheme="minorHAnsi"/>
          <w:b/>
        </w:rPr>
        <w:t>s</w:t>
      </w:r>
      <w:r w:rsidRPr="00730C87">
        <w:rPr>
          <w:rFonts w:eastAsia="Meiryo" w:cstheme="minorHAnsi"/>
          <w:b/>
          <w:spacing w:val="1"/>
        </w:rPr>
        <w:t>pe</w:t>
      </w:r>
      <w:r w:rsidRPr="00730C87">
        <w:rPr>
          <w:rFonts w:eastAsia="Meiryo" w:cstheme="minorHAnsi"/>
          <w:b/>
        </w:rPr>
        <w:t>c</w:t>
      </w:r>
      <w:r w:rsidRPr="00730C87">
        <w:rPr>
          <w:rFonts w:eastAsia="Meiryo" w:cstheme="minorHAnsi"/>
          <w:b/>
          <w:spacing w:val="-3"/>
        </w:rPr>
        <w:t>i</w:t>
      </w:r>
      <w:r w:rsidRPr="00730C87">
        <w:rPr>
          <w:rFonts w:eastAsia="Meiryo" w:cstheme="minorHAnsi"/>
          <w:b/>
          <w:spacing w:val="3"/>
        </w:rPr>
        <w:t>f</w:t>
      </w:r>
      <w:r w:rsidRPr="00730C87">
        <w:rPr>
          <w:rFonts w:eastAsia="Meiryo" w:cstheme="minorHAnsi"/>
          <w:b/>
        </w:rPr>
        <w:t>i</w:t>
      </w:r>
      <w:r w:rsidRPr="00730C87">
        <w:rPr>
          <w:rFonts w:eastAsia="Meiryo" w:cstheme="minorHAnsi"/>
          <w:b/>
          <w:spacing w:val="-1"/>
        </w:rPr>
        <w:t>e</w:t>
      </w:r>
      <w:r w:rsidRPr="00730C87">
        <w:rPr>
          <w:rFonts w:eastAsia="Meiryo" w:cstheme="minorHAnsi"/>
          <w:b/>
        </w:rPr>
        <w:t>d in</w:t>
      </w:r>
      <w:r w:rsidRPr="00730C87">
        <w:rPr>
          <w:rFonts w:eastAsia="Meiryo" w:cstheme="minorHAnsi"/>
          <w:b/>
          <w:spacing w:val="1"/>
        </w:rPr>
        <w:t xml:space="preserve"> the approved budget ha</w:t>
      </w:r>
      <w:r w:rsidRPr="00730C87">
        <w:rPr>
          <w:rFonts w:eastAsia="Meiryo" w:cstheme="minorHAnsi"/>
          <w:b/>
        </w:rPr>
        <w:t>s</w:t>
      </w:r>
      <w:r w:rsidRPr="00730C87">
        <w:rPr>
          <w:rFonts w:eastAsia="Meiryo" w:cstheme="minorHAnsi"/>
          <w:b/>
          <w:spacing w:val="-2"/>
        </w:rPr>
        <w:t xml:space="preserve"> </w:t>
      </w:r>
      <w:r w:rsidRPr="00730C87">
        <w:rPr>
          <w:rFonts w:eastAsia="Meiryo" w:cstheme="minorHAnsi"/>
          <w:b/>
          <w:spacing w:val="1"/>
        </w:rPr>
        <w:t>be</w:t>
      </w:r>
      <w:r w:rsidRPr="00730C87">
        <w:rPr>
          <w:rFonts w:eastAsia="Meiryo" w:cstheme="minorHAnsi"/>
          <w:b/>
          <w:spacing w:val="-1"/>
        </w:rPr>
        <w:t>e</w:t>
      </w:r>
      <w:r w:rsidRPr="00730C87">
        <w:rPr>
          <w:rFonts w:eastAsia="Meiryo" w:cstheme="minorHAnsi"/>
          <w:b/>
        </w:rPr>
        <w:t>n</w:t>
      </w:r>
      <w:r w:rsidRPr="00730C87">
        <w:rPr>
          <w:rFonts w:eastAsia="Meiryo" w:cstheme="minorHAnsi"/>
          <w:b/>
          <w:spacing w:val="1"/>
        </w:rPr>
        <w:t xml:space="preserve"> p</w:t>
      </w:r>
      <w:r w:rsidRPr="00730C87">
        <w:rPr>
          <w:rFonts w:eastAsia="Meiryo" w:cstheme="minorHAnsi"/>
          <w:b/>
          <w:spacing w:val="-1"/>
        </w:rPr>
        <w:t>r</w:t>
      </w:r>
      <w:r w:rsidRPr="00730C87">
        <w:rPr>
          <w:rFonts w:eastAsia="Meiryo" w:cstheme="minorHAnsi"/>
          <w:b/>
          <w:spacing w:val="1"/>
        </w:rPr>
        <w:t>o</w:t>
      </w:r>
      <w:r w:rsidRPr="00730C87">
        <w:rPr>
          <w:rFonts w:eastAsia="Meiryo" w:cstheme="minorHAnsi"/>
          <w:b/>
          <w:spacing w:val="-2"/>
        </w:rPr>
        <w:t>v</w:t>
      </w:r>
      <w:r w:rsidRPr="00730C87">
        <w:rPr>
          <w:rFonts w:eastAsia="Meiryo" w:cstheme="minorHAnsi"/>
          <w:b/>
        </w:rPr>
        <w:t>i</w:t>
      </w:r>
      <w:r w:rsidRPr="00730C87">
        <w:rPr>
          <w:rFonts w:eastAsia="Meiryo" w:cstheme="minorHAnsi"/>
          <w:b/>
          <w:spacing w:val="1"/>
        </w:rPr>
        <w:t>de</w:t>
      </w:r>
      <w:r w:rsidRPr="00730C87">
        <w:rPr>
          <w:rFonts w:eastAsia="Meiryo" w:cstheme="minorHAnsi"/>
          <w:b/>
        </w:rPr>
        <w:t>d</w:t>
      </w:r>
      <w:r w:rsidRPr="00730C87">
        <w:rPr>
          <w:rFonts w:eastAsia="Meiryo" w:cstheme="minorHAnsi"/>
          <w:b/>
          <w:spacing w:val="-1"/>
        </w:rPr>
        <w:t xml:space="preserve"> </w:t>
      </w:r>
      <w:r w:rsidRPr="00730C87">
        <w:rPr>
          <w:rFonts w:eastAsia="Meiryo" w:cstheme="minorHAnsi"/>
          <w:b/>
          <w:spacing w:val="1"/>
        </w:rPr>
        <w:t>b</w:t>
      </w:r>
      <w:r w:rsidRPr="00730C87">
        <w:rPr>
          <w:rFonts w:eastAsia="Meiryo" w:cstheme="minorHAnsi"/>
          <w:b/>
        </w:rPr>
        <w:t>y</w:t>
      </w:r>
      <w:r w:rsidRPr="00730C87">
        <w:rPr>
          <w:rFonts w:eastAsia="Meiryo" w:cstheme="minorHAnsi"/>
          <w:b/>
          <w:spacing w:val="-2"/>
        </w:rPr>
        <w:t xml:space="preserve"> </w:t>
      </w:r>
      <w:r w:rsidRPr="00730C87">
        <w:rPr>
          <w:rFonts w:eastAsia="Meiryo" w:cstheme="minorHAnsi"/>
          <w:b/>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rPr>
        <w:t>Project Team</w:t>
      </w:r>
      <w:r w:rsidRPr="00730C87">
        <w:rPr>
          <w:rFonts w:eastAsia="Times New Roman" w:cstheme="minorHAnsi"/>
          <w:b/>
          <w:color w:val="000000"/>
        </w:rPr>
        <w:t>.  When Federal reimbursement reaches 75% of commitment, Cost Share should be at commensurate level, per the approved budget and SOW.</w:t>
      </w:r>
      <w:r w:rsidRPr="00730C87">
        <w:rPr>
          <w:rFonts w:ascii="Calibri" w:eastAsia="Times New Roman" w:hAnsi="Calibri" w:cs="Calibri"/>
          <w:b/>
          <w:color w:val="000000"/>
        </w:rPr>
        <w:t xml:space="preserve"> </w:t>
      </w:r>
    </w:p>
    <w:p w14:paraId="55EC9225" w14:textId="77777777" w:rsidR="00610BE9" w:rsidRPr="00730C87" w:rsidRDefault="00610BE9" w:rsidP="00610BE9">
      <w:pPr>
        <w:spacing w:after="0" w:line="240" w:lineRule="auto"/>
        <w:contextualSpacing/>
        <w:rPr>
          <w:rFonts w:ascii="Calibri" w:eastAsia="Times New Roman" w:hAnsi="Calibri" w:cs="Calibri"/>
          <w:color w:val="000000"/>
        </w:rPr>
      </w:pPr>
    </w:p>
    <w:p w14:paraId="6FAF7007"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t>EXHIBITS</w:t>
      </w:r>
    </w:p>
    <w:p w14:paraId="3869AD89" w14:textId="77777777" w:rsidR="00610BE9" w:rsidRPr="00730C87" w:rsidRDefault="00610BE9" w:rsidP="00610BE9">
      <w:pPr>
        <w:pStyle w:val="NoSpacing"/>
        <w:rPr>
          <w:rFonts w:ascii="Calibri" w:eastAsia="Times New Roman" w:hAnsi="Calibri" w:cs="Calibri"/>
          <w:color w:val="000000"/>
        </w:rPr>
      </w:pPr>
      <w:r w:rsidRPr="00730C87">
        <w:rPr>
          <w:rFonts w:ascii="Calibri" w:eastAsia="Times New Roman" w:hAnsi="Calibri" w:cs="Calibri"/>
          <w:color w:val="000000"/>
        </w:rPr>
        <w:t>Attachment 1: MxD Invoice Template</w:t>
      </w:r>
    </w:p>
    <w:p w14:paraId="49333750" w14:textId="77777777" w:rsidR="00610BE9" w:rsidRPr="00730C87" w:rsidRDefault="00610BE9" w:rsidP="00610BE9">
      <w:pPr>
        <w:rPr>
          <w:rFonts w:ascii="Calibri" w:eastAsia="Times New Roman" w:hAnsi="Calibri" w:cs="Calibri"/>
          <w:color w:val="000000"/>
        </w:rPr>
      </w:pPr>
      <w:r w:rsidRPr="00730C87">
        <w:rPr>
          <w:rFonts w:ascii="Calibri" w:eastAsia="Times New Roman" w:hAnsi="Calibri" w:cs="Calibri"/>
          <w:color w:val="000000" w:themeColor="text1"/>
        </w:rPr>
        <w:t>Attachment 2: Project Participant Release Form</w:t>
      </w:r>
      <w:r w:rsidRPr="00730C87">
        <w:rPr>
          <w:rFonts w:ascii="Calibri" w:eastAsia="Times New Roman" w:hAnsi="Calibri" w:cs="Calibri"/>
          <w:color w:val="000000" w:themeColor="text1"/>
        </w:rPr>
        <w:br w:type="page"/>
      </w:r>
    </w:p>
    <w:p w14:paraId="7B676DFD" w14:textId="4785AEAB" w:rsidR="00DC07D6" w:rsidRPr="003C59D9" w:rsidRDefault="00DC07D6" w:rsidP="0079655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6"/>
          <w:footerReference w:type="default" r:id="rId27"/>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w:t>
      </w:r>
      <w:r w:rsidRPr="00E62A5C">
        <w:rPr>
          <w:rFonts w:ascii="Calibri" w:eastAsia="Times New Roman" w:hAnsi="Calibri" w:cs="Times New Roman"/>
        </w:rPr>
        <w:t xml:space="preserve">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w:t>
      </w:r>
      <w:proofErr w:type="spellStart"/>
      <w:r w:rsidRPr="00E62A5C">
        <w:rPr>
          <w:rFonts w:ascii="Calibri" w:eastAsia="Times New Roman" w:hAnsi="Calibri" w:cs="Times New Roman"/>
        </w:rPr>
        <w:t>i</w:t>
      </w:r>
      <w:proofErr w:type="spellEnd"/>
      <w:r w:rsidRPr="00E62A5C">
        <w:rPr>
          <w:rFonts w:ascii="Calibri" w:eastAsia="Times New Roman" w:hAnsi="Calibri" w:cs="Times New Roman"/>
        </w:rPr>
        <w:t>).</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lastRenderedPageBreak/>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DC2CEB2"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circulars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t>
      </w:r>
      <w:r w:rsidR="004215FF" w:rsidRPr="004215FF">
        <w:rPr>
          <w:rFonts w:ascii="Calibri" w:eastAsia="Times New Roman" w:hAnsi="Calibri" w:cs="Times New Roman"/>
        </w:rPr>
        <w:t>with the Office of Management and Budget Guidance for Grants and Agreements, 2 CFR 200 (Uniform Guidance) In the event of a conflict between the provisions of this Agreement and the Uniform Guidance the Uniform Guidance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w:t>
      </w:r>
      <w:r w:rsidRPr="00E62A5C">
        <w:rPr>
          <w:rFonts w:ascii="Calibri" w:eastAsia="Times New Roman" w:hAnsi="Calibri" w:cs="Times New Roman"/>
        </w:rPr>
        <w:lastRenderedPageBreak/>
        <w:t>(42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w:t>
      </w:r>
      <w:proofErr w:type="spellStart"/>
      <w:r w:rsidRPr="00E62A5C">
        <w:rPr>
          <w:rFonts w:ascii="Calibri" w:eastAsia="Times New Roman" w:hAnsi="Calibri" w:cs="Times New Roman"/>
        </w:rPr>
        <w:t>i</w:t>
      </w:r>
      <w:proofErr w:type="spellEnd"/>
      <w:r w:rsidRPr="00E62A5C">
        <w:rPr>
          <w:rFonts w:ascii="Calibri" w:eastAsia="Times New Roman" w:hAnsi="Calibri" w:cs="Times New Roman"/>
        </w:rPr>
        <w:t xml:space="preserve">)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8"/>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rPr>
          <w:rFonts w:eastAsiaTheme="minorEastAsia"/>
          <w:sz w:val="24"/>
          <w:szCs w:val="24"/>
        </w:rPr>
      </w:pPr>
      <w:r w:rsidRPr="6D408CB7">
        <w:rPr>
          <w:rFonts w:eastAsiaTheme="minorEastAsia"/>
          <w:sz w:val="24"/>
          <w:szCs w:val="24"/>
        </w:rPr>
        <w:t xml:space="preserve">The following list of </w:t>
      </w:r>
      <w:proofErr w:type="gramStart"/>
      <w:r w:rsidRPr="6D408CB7">
        <w:rPr>
          <w:rFonts w:eastAsiaTheme="minorEastAsia"/>
          <w:sz w:val="24"/>
          <w:szCs w:val="24"/>
        </w:rPr>
        <w:t>deliverable</w:t>
      </w:r>
      <w:proofErr w:type="gramEnd"/>
      <w:r w:rsidRPr="6D408CB7">
        <w:rPr>
          <w:rFonts w:eastAsiaTheme="minorEastAsia"/>
          <w:sz w:val="24"/>
          <w:szCs w:val="24"/>
        </w:rPr>
        <w:t xml:space="preserve">(s) and the respective right set forth to such deliverable(s) is/are hereby granted to the government.  </w:t>
      </w:r>
    </w:p>
    <w:p w14:paraId="5081CDC1" w14:textId="5E25DB26" w:rsidR="203E310D" w:rsidRDefault="203E310D" w:rsidP="2633C5E8">
      <w:pPr>
        <w:jc w:val="center"/>
        <w:rPr>
          <w:rStyle w:val="eop"/>
          <w:rFonts w:eastAsiaTheme="minorEastAsia"/>
          <w:color w:val="000000" w:themeColor="text1"/>
        </w:rPr>
      </w:pPr>
      <w:r w:rsidRPr="6D408CB7">
        <w:rPr>
          <w:rFonts w:eastAsiaTheme="minorEastAsia"/>
          <w:sz w:val="24"/>
          <w:szCs w:val="24"/>
        </w:rPr>
        <w:t xml:space="preserve"> </w:t>
      </w:r>
      <w:r w:rsidR="005318B3" w:rsidRPr="6D408CB7">
        <w:rPr>
          <w:rStyle w:val="normaltextrun"/>
          <w:rFonts w:eastAsiaTheme="minorEastAsia"/>
          <w:b/>
          <w:color w:val="000000"/>
          <w:shd w:val="clear" w:color="auto" w:fill="00FFFF"/>
        </w:rPr>
        <w:t>[INSERT DATA ASSERTIONS]</w:t>
      </w:r>
      <w:r w:rsidR="005318B3" w:rsidRPr="6D408CB7">
        <w:rPr>
          <w:rStyle w:val="eop"/>
          <w:rFonts w:eastAsiaTheme="minorEastAsia"/>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58BB5" w14:textId="77777777" w:rsidR="007B72E4" w:rsidRDefault="007B72E4">
      <w:pPr>
        <w:spacing w:after="0" w:line="240" w:lineRule="auto"/>
      </w:pPr>
      <w:r>
        <w:separator/>
      </w:r>
    </w:p>
  </w:endnote>
  <w:endnote w:type="continuationSeparator" w:id="0">
    <w:p w14:paraId="6332FE14" w14:textId="77777777" w:rsidR="007B72E4" w:rsidRDefault="007B72E4">
      <w:pPr>
        <w:spacing w:after="0" w:line="240" w:lineRule="auto"/>
      </w:pPr>
      <w:r>
        <w:continuationSeparator/>
      </w:r>
    </w:p>
  </w:endnote>
  <w:endnote w:type="continuationNotice" w:id="1">
    <w:p w14:paraId="5A0761E3" w14:textId="77777777" w:rsidR="007B72E4" w:rsidRDefault="007B72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B575" w14:textId="77777777" w:rsidR="00D46AD1" w:rsidRDefault="00D46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B3C64" w14:textId="77777777" w:rsidR="00D46AD1" w:rsidRDefault="00D46A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4299" w14:textId="77777777" w:rsidR="00D46AD1" w:rsidRDefault="00D46A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2F30AE13" w:rsidR="00856134" w:rsidRDefault="008E4D48" w:rsidP="00ED7CC7">
        <w:pPr>
          <w:pStyle w:val="Footer"/>
        </w:pPr>
        <w:sdt>
          <w:sdtPr>
            <w:id w:val="-1179192982"/>
            <w:docPartObj>
              <w:docPartGallery w:val="Page Numbers (Top of Page)"/>
              <w:docPartUnique/>
            </w:docPartObj>
          </w:sdtPr>
          <w:sdtEndPr/>
          <w:sdtContent>
            <w:r w:rsidR="00856134">
              <w:t xml:space="preserve">Page </w:t>
            </w:r>
            <w:r w:rsidR="00856134" w:rsidRPr="00B247C1">
              <w:rPr>
                <w:sz w:val="24"/>
                <w:szCs w:val="24"/>
              </w:rPr>
              <w:fldChar w:fldCharType="begin"/>
            </w:r>
            <w:r w:rsidR="00856134" w:rsidRPr="00B247C1">
              <w:instrText xml:space="preserve"> PAGE </w:instrText>
            </w:r>
            <w:r w:rsidR="00856134" w:rsidRPr="00B247C1">
              <w:rPr>
                <w:sz w:val="24"/>
                <w:szCs w:val="24"/>
              </w:rPr>
              <w:fldChar w:fldCharType="separate"/>
            </w:r>
            <w:r w:rsidR="00856134" w:rsidRPr="00B247C1">
              <w:rPr>
                <w:noProof/>
              </w:rPr>
              <w:t>1</w:t>
            </w:r>
            <w:r w:rsidR="00856134" w:rsidRPr="00B247C1">
              <w:rPr>
                <w:sz w:val="24"/>
                <w:szCs w:val="24"/>
              </w:rPr>
              <w:fldChar w:fldCharType="end"/>
            </w:r>
            <w:r w:rsidR="00856134">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1F1F41">
          <w:t>v</w:t>
        </w:r>
        <w:r w:rsidR="000C384A">
          <w:t>4</w:t>
        </w:r>
        <w:r w:rsidR="001F1F41">
          <w:t>.</w:t>
        </w:r>
        <w:r w:rsidR="00DD516F">
          <w:t>1 8-3-22</w:t>
        </w:r>
      </w:p>
    </w:sdtContent>
  </w:sdt>
  <w:p w14:paraId="1D33F597" w14:textId="77777777" w:rsidR="00856134" w:rsidRDefault="00856134" w:rsidP="00ED7CC7">
    <w:pPr>
      <w:pStyle w:val="Footer"/>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791597"/>
      <w:docPartObj>
        <w:docPartGallery w:val="Page Numbers (Bottom of Page)"/>
        <w:docPartUnique/>
      </w:docPartObj>
    </w:sdtPr>
    <w:sdtEndPr/>
    <w:sdtContent>
      <w:p w14:paraId="2F752EE4" w14:textId="4832573E" w:rsidR="00B51323" w:rsidRDefault="008E4D48" w:rsidP="00ED7CC7">
        <w:pPr>
          <w:pStyle w:val="Footer"/>
        </w:pPr>
        <w:sdt>
          <w:sdtPr>
            <w:id w:val="118118073"/>
            <w:docPartObj>
              <w:docPartGallery w:val="Page Numbers (Top of Page)"/>
              <w:docPartUnique/>
            </w:docPartObj>
          </w:sdtPr>
          <w:sdtEndPr/>
          <w:sdtContent>
            <w:r w:rsidR="00B51323">
              <w:t xml:space="preserve">Page </w:t>
            </w:r>
            <w:r w:rsidR="00B51323" w:rsidRPr="00B247C1">
              <w:rPr>
                <w:sz w:val="24"/>
                <w:szCs w:val="24"/>
              </w:rPr>
              <w:fldChar w:fldCharType="begin"/>
            </w:r>
            <w:r w:rsidR="00B51323" w:rsidRPr="00B247C1">
              <w:instrText xml:space="preserve"> PAGE </w:instrText>
            </w:r>
            <w:r w:rsidR="00B51323" w:rsidRPr="00B247C1">
              <w:rPr>
                <w:sz w:val="24"/>
                <w:szCs w:val="24"/>
              </w:rPr>
              <w:fldChar w:fldCharType="separate"/>
            </w:r>
            <w:r w:rsidR="00B51323" w:rsidRPr="00B247C1">
              <w:rPr>
                <w:noProof/>
              </w:rPr>
              <w:t>1</w:t>
            </w:r>
            <w:r w:rsidR="00B51323" w:rsidRPr="00B247C1">
              <w:rPr>
                <w:sz w:val="24"/>
                <w:szCs w:val="24"/>
              </w:rPr>
              <w:fldChar w:fldCharType="end"/>
            </w:r>
            <w:r w:rsidR="00B51323">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1F1F41">
          <w:t>v</w:t>
        </w:r>
        <w:r w:rsidR="000C384A">
          <w:t>4</w:t>
        </w:r>
        <w:r w:rsidR="001F1F41">
          <w:t>.</w:t>
        </w:r>
        <w:r w:rsidR="00D46AD1">
          <w:t xml:space="preserve">1 </w:t>
        </w:r>
        <w:r w:rsidR="00A746B1">
          <w:t>8-3-22</w:t>
        </w:r>
      </w:p>
    </w:sdtContent>
  </w:sdt>
  <w:p w14:paraId="3D94B6EC" w14:textId="77777777" w:rsidR="00B51323" w:rsidRDefault="00B51323" w:rsidP="00ED7CC7">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CFF69" w14:textId="77777777" w:rsidR="007B72E4" w:rsidRDefault="007B72E4">
      <w:pPr>
        <w:spacing w:after="0" w:line="240" w:lineRule="auto"/>
      </w:pPr>
      <w:r>
        <w:separator/>
      </w:r>
    </w:p>
  </w:footnote>
  <w:footnote w:type="continuationSeparator" w:id="0">
    <w:p w14:paraId="4DAA590B" w14:textId="77777777" w:rsidR="007B72E4" w:rsidRDefault="007B72E4">
      <w:pPr>
        <w:spacing w:after="0" w:line="240" w:lineRule="auto"/>
      </w:pPr>
      <w:r>
        <w:continuationSeparator/>
      </w:r>
    </w:p>
  </w:footnote>
  <w:footnote w:type="continuationNotice" w:id="1">
    <w:p w14:paraId="3D131827" w14:textId="77777777" w:rsidR="007B72E4" w:rsidRDefault="007B72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8E4D48">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FF35" w14:textId="77777777" w:rsidR="00D46AD1" w:rsidRDefault="00D46A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8E4D48">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d9QEAAMU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MS+AEAAMw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441F4"/>
    <w:multiLevelType w:val="hybridMultilevel"/>
    <w:tmpl w:val="BF5A97CC"/>
    <w:lvl w:ilvl="0" w:tplc="FFFFFFFF">
      <w:start w:val="1"/>
      <w:numFmt w:val="bullet"/>
      <w:lvlText w:val="•"/>
      <w:lvlJc w:val="left"/>
      <w:pPr>
        <w:tabs>
          <w:tab w:val="num" w:pos="720"/>
        </w:tabs>
        <w:ind w:left="720" w:hanging="360"/>
      </w:pPr>
      <w:rPr>
        <w:rFonts w:ascii="Arial" w:hAnsi="Arial" w:cs="Times New Roman" w:hint="default"/>
      </w:rPr>
    </w:lvl>
    <w:lvl w:ilvl="1" w:tplc="FFFFFFFF">
      <w:start w:val="66"/>
      <w:numFmt w:val="bullet"/>
      <w:lvlText w:val="•"/>
      <w:lvlJc w:val="left"/>
      <w:pPr>
        <w:tabs>
          <w:tab w:val="num" w:pos="1440"/>
        </w:tabs>
        <w:ind w:left="1440" w:hanging="360"/>
      </w:pPr>
      <w:rPr>
        <w:rFonts w:ascii="Arial" w:hAnsi="Arial" w:cs="Times New Roman" w:hint="default"/>
      </w:rPr>
    </w:lvl>
    <w:lvl w:ilvl="2" w:tplc="0409000B">
      <w:start w:val="1"/>
      <w:numFmt w:val="bullet"/>
      <w:lvlText w:val=""/>
      <w:lvlJc w:val="left"/>
      <w:pPr>
        <w:ind w:left="2160" w:hanging="360"/>
      </w:pPr>
      <w:rPr>
        <w:rFonts w:ascii="Wingdings" w:hAnsi="Wingdings" w:hint="default"/>
      </w:rPr>
    </w:lvl>
    <w:lvl w:ilvl="3" w:tplc="FFFFFFFF">
      <w:start w:val="1"/>
      <w:numFmt w:val="bullet"/>
      <w:lvlText w:val="•"/>
      <w:lvlJc w:val="left"/>
      <w:pPr>
        <w:tabs>
          <w:tab w:val="num" w:pos="2880"/>
        </w:tabs>
        <w:ind w:left="2880" w:hanging="360"/>
      </w:pPr>
      <w:rPr>
        <w:rFonts w:ascii="Arial" w:hAnsi="Arial" w:cs="Times New Roman" w:hint="default"/>
      </w:rPr>
    </w:lvl>
    <w:lvl w:ilvl="4" w:tplc="FFFFFFFF">
      <w:start w:val="1"/>
      <w:numFmt w:val="bullet"/>
      <w:lvlText w:val="•"/>
      <w:lvlJc w:val="left"/>
      <w:pPr>
        <w:tabs>
          <w:tab w:val="num" w:pos="3600"/>
        </w:tabs>
        <w:ind w:left="3600" w:hanging="360"/>
      </w:pPr>
      <w:rPr>
        <w:rFonts w:ascii="Arial" w:hAnsi="Arial" w:cs="Times New Roman" w:hint="default"/>
      </w:rPr>
    </w:lvl>
    <w:lvl w:ilvl="5" w:tplc="FFFFFFFF">
      <w:start w:val="1"/>
      <w:numFmt w:val="bullet"/>
      <w:lvlText w:val="•"/>
      <w:lvlJc w:val="left"/>
      <w:pPr>
        <w:tabs>
          <w:tab w:val="num" w:pos="4320"/>
        </w:tabs>
        <w:ind w:left="4320" w:hanging="360"/>
      </w:pPr>
      <w:rPr>
        <w:rFonts w:ascii="Arial" w:hAnsi="Arial" w:cs="Times New Roman" w:hint="default"/>
      </w:rPr>
    </w:lvl>
    <w:lvl w:ilvl="6" w:tplc="FFFFFFFF">
      <w:start w:val="1"/>
      <w:numFmt w:val="bullet"/>
      <w:lvlText w:val="•"/>
      <w:lvlJc w:val="left"/>
      <w:pPr>
        <w:tabs>
          <w:tab w:val="num" w:pos="5040"/>
        </w:tabs>
        <w:ind w:left="5040" w:hanging="360"/>
      </w:pPr>
      <w:rPr>
        <w:rFonts w:ascii="Arial" w:hAnsi="Arial" w:cs="Times New Roman" w:hint="default"/>
      </w:rPr>
    </w:lvl>
    <w:lvl w:ilvl="7" w:tplc="FFFFFFFF">
      <w:start w:val="1"/>
      <w:numFmt w:val="bullet"/>
      <w:lvlText w:val="•"/>
      <w:lvlJc w:val="left"/>
      <w:pPr>
        <w:tabs>
          <w:tab w:val="num" w:pos="5760"/>
        </w:tabs>
        <w:ind w:left="5760" w:hanging="360"/>
      </w:pPr>
      <w:rPr>
        <w:rFonts w:ascii="Arial" w:hAnsi="Arial" w:cs="Times New Roman" w:hint="default"/>
      </w:rPr>
    </w:lvl>
    <w:lvl w:ilvl="8" w:tplc="FFFFFFFF">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7"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1"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20"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9"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718840">
    <w:abstractNumId w:val="6"/>
  </w:num>
  <w:num w:numId="2" w16cid:durableId="711463897">
    <w:abstractNumId w:val="19"/>
  </w:num>
  <w:num w:numId="3" w16cid:durableId="504786613">
    <w:abstractNumId w:val="16"/>
  </w:num>
  <w:num w:numId="4" w16cid:durableId="250891487">
    <w:abstractNumId w:val="14"/>
  </w:num>
  <w:num w:numId="5" w16cid:durableId="1287543423">
    <w:abstractNumId w:val="27"/>
  </w:num>
  <w:num w:numId="6" w16cid:durableId="2124811562">
    <w:abstractNumId w:val="7"/>
  </w:num>
  <w:num w:numId="7" w16cid:durableId="1333992301">
    <w:abstractNumId w:val="18"/>
  </w:num>
  <w:num w:numId="8" w16cid:durableId="612059270">
    <w:abstractNumId w:val="12"/>
  </w:num>
  <w:num w:numId="9" w16cid:durableId="1905682943">
    <w:abstractNumId w:val="0"/>
  </w:num>
  <w:num w:numId="10" w16cid:durableId="256401246">
    <w:abstractNumId w:val="24"/>
  </w:num>
  <w:num w:numId="11" w16cid:durableId="1929921908">
    <w:abstractNumId w:val="3"/>
  </w:num>
  <w:num w:numId="12" w16cid:durableId="121504284">
    <w:abstractNumId w:val="4"/>
  </w:num>
  <w:num w:numId="13" w16cid:durableId="792212352">
    <w:abstractNumId w:val="20"/>
  </w:num>
  <w:num w:numId="14" w16cid:durableId="923296588">
    <w:abstractNumId w:val="23"/>
  </w:num>
  <w:num w:numId="15" w16cid:durableId="1123383165">
    <w:abstractNumId w:val="17"/>
  </w:num>
  <w:num w:numId="16" w16cid:durableId="1940748828">
    <w:abstractNumId w:val="9"/>
  </w:num>
  <w:num w:numId="17" w16cid:durableId="1262031584">
    <w:abstractNumId w:val="8"/>
  </w:num>
  <w:num w:numId="18" w16cid:durableId="163206342">
    <w:abstractNumId w:val="29"/>
  </w:num>
  <w:num w:numId="19" w16cid:durableId="1501189965">
    <w:abstractNumId w:val="26"/>
  </w:num>
  <w:num w:numId="20" w16cid:durableId="1897424171">
    <w:abstractNumId w:val="1"/>
  </w:num>
  <w:num w:numId="21" w16cid:durableId="1112168534">
    <w:abstractNumId w:val="19"/>
    <w:lvlOverride w:ilvl="0">
      <w:startOverride w:val="2"/>
    </w:lvlOverride>
    <w:lvlOverride w:ilvl="1">
      <w:startOverride w:val="7"/>
    </w:lvlOverride>
  </w:num>
  <w:num w:numId="22" w16cid:durableId="1839733080">
    <w:abstractNumId w:val="19"/>
    <w:lvlOverride w:ilvl="0">
      <w:startOverride w:val="4"/>
    </w:lvlOverride>
    <w:lvlOverride w:ilvl="1">
      <w:startOverride w:val="2"/>
    </w:lvlOverride>
  </w:num>
  <w:num w:numId="23" w16cid:durableId="1578050828">
    <w:abstractNumId w:val="28"/>
  </w:num>
  <w:num w:numId="24" w16cid:durableId="807744349">
    <w:abstractNumId w:val="10"/>
  </w:num>
  <w:num w:numId="25" w16cid:durableId="887762112">
    <w:abstractNumId w:val="2"/>
  </w:num>
  <w:num w:numId="26" w16cid:durableId="638265260">
    <w:abstractNumId w:val="15"/>
  </w:num>
  <w:num w:numId="27" w16cid:durableId="204948999">
    <w:abstractNumId w:val="22"/>
  </w:num>
  <w:num w:numId="28" w16cid:durableId="846019064">
    <w:abstractNumId w:val="19"/>
    <w:lvlOverride w:ilvl="0">
      <w:startOverride w:val="4"/>
    </w:lvlOverride>
    <w:lvlOverride w:ilvl="1">
      <w:startOverride w:val="4"/>
    </w:lvlOverride>
  </w:num>
  <w:num w:numId="29" w16cid:durableId="254557067">
    <w:abstractNumId w:val="13"/>
  </w:num>
  <w:num w:numId="30" w16cid:durableId="782580064">
    <w:abstractNumId w:val="25"/>
  </w:num>
  <w:num w:numId="31" w16cid:durableId="613906673">
    <w:abstractNumId w:val="21"/>
  </w:num>
  <w:num w:numId="32" w16cid:durableId="791171189">
    <w:abstractNumId w:val="11"/>
  </w:num>
  <w:num w:numId="33" w16cid:durableId="959145670">
    <w:abstractNumId w:val="0"/>
  </w:num>
  <w:num w:numId="34" w16cid:durableId="1029799136">
    <w:abstractNumId w:val="21"/>
  </w:num>
  <w:num w:numId="35" w16cid:durableId="988897673">
    <w:abstractNumId w:val="11"/>
  </w:num>
  <w:num w:numId="36" w16cid:durableId="13483659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9103789">
    <w:abstractNumId w:val="20"/>
  </w:num>
  <w:num w:numId="38" w16cid:durableId="485048763">
    <w:abstractNumId w:val="24"/>
  </w:num>
  <w:num w:numId="39" w16cid:durableId="576742138">
    <w:abstractNumId w:val="14"/>
  </w:num>
  <w:num w:numId="40" w16cid:durableId="1526361276">
    <w:abstractNumId w:val="5"/>
  </w:num>
  <w:num w:numId="41" w16cid:durableId="243299057">
    <w:abstractNumId w:val="18"/>
  </w:num>
  <w:num w:numId="42" w16cid:durableId="1271428823">
    <w:abstractNumId w:val="12"/>
  </w:num>
  <w:num w:numId="43" w16cid:durableId="1284769217">
    <w:abstractNumId w:val="7"/>
  </w:num>
  <w:num w:numId="44" w16cid:durableId="1608732502">
    <w:abstractNumId w:val="27"/>
  </w:num>
  <w:num w:numId="45" w16cid:durableId="506597474">
    <w:abstractNumId w:val="16"/>
  </w:num>
  <w:num w:numId="46" w16cid:durableId="1874152600">
    <w:abstractNumId w:val="8"/>
  </w:num>
  <w:num w:numId="47" w16cid:durableId="908535215">
    <w:abstractNumId w:val="23"/>
  </w:num>
  <w:num w:numId="48" w16cid:durableId="4027231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1,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38D0"/>
    <w:rsid w:val="00004F13"/>
    <w:rsid w:val="00007A9A"/>
    <w:rsid w:val="000111FF"/>
    <w:rsid w:val="00011A2E"/>
    <w:rsid w:val="000131F0"/>
    <w:rsid w:val="00021023"/>
    <w:rsid w:val="00031357"/>
    <w:rsid w:val="00032EAF"/>
    <w:rsid w:val="00037BAB"/>
    <w:rsid w:val="00040B38"/>
    <w:rsid w:val="00040D47"/>
    <w:rsid w:val="00041271"/>
    <w:rsid w:val="00043308"/>
    <w:rsid w:val="000452DB"/>
    <w:rsid w:val="0004620A"/>
    <w:rsid w:val="00047320"/>
    <w:rsid w:val="00051A1C"/>
    <w:rsid w:val="000524AE"/>
    <w:rsid w:val="000631F3"/>
    <w:rsid w:val="0007366C"/>
    <w:rsid w:val="000845B7"/>
    <w:rsid w:val="00085C22"/>
    <w:rsid w:val="00087986"/>
    <w:rsid w:val="00090979"/>
    <w:rsid w:val="00091A02"/>
    <w:rsid w:val="00091ABE"/>
    <w:rsid w:val="00094116"/>
    <w:rsid w:val="000A7580"/>
    <w:rsid w:val="000B1DFA"/>
    <w:rsid w:val="000B51A4"/>
    <w:rsid w:val="000B6451"/>
    <w:rsid w:val="000C384A"/>
    <w:rsid w:val="000C5636"/>
    <w:rsid w:val="000C5B32"/>
    <w:rsid w:val="000D37C1"/>
    <w:rsid w:val="000D6EF2"/>
    <w:rsid w:val="000D7096"/>
    <w:rsid w:val="000E1797"/>
    <w:rsid w:val="000E2E24"/>
    <w:rsid w:val="000E4D42"/>
    <w:rsid w:val="000E5571"/>
    <w:rsid w:val="000F5BAC"/>
    <w:rsid w:val="0010531E"/>
    <w:rsid w:val="00112C9E"/>
    <w:rsid w:val="00113F55"/>
    <w:rsid w:val="001170F3"/>
    <w:rsid w:val="001201E2"/>
    <w:rsid w:val="001205A9"/>
    <w:rsid w:val="001244F6"/>
    <w:rsid w:val="00136F6F"/>
    <w:rsid w:val="001424A2"/>
    <w:rsid w:val="00147FA9"/>
    <w:rsid w:val="00153452"/>
    <w:rsid w:val="00153A94"/>
    <w:rsid w:val="00153F9E"/>
    <w:rsid w:val="0015403D"/>
    <w:rsid w:val="00154A36"/>
    <w:rsid w:val="00155763"/>
    <w:rsid w:val="001573C4"/>
    <w:rsid w:val="0016466A"/>
    <w:rsid w:val="00165A1F"/>
    <w:rsid w:val="00166E07"/>
    <w:rsid w:val="0016734F"/>
    <w:rsid w:val="00176F91"/>
    <w:rsid w:val="00181FD4"/>
    <w:rsid w:val="00187136"/>
    <w:rsid w:val="00190D0C"/>
    <w:rsid w:val="001A0341"/>
    <w:rsid w:val="001B0F04"/>
    <w:rsid w:val="001B4072"/>
    <w:rsid w:val="001B79BD"/>
    <w:rsid w:val="001C3538"/>
    <w:rsid w:val="001C7A16"/>
    <w:rsid w:val="001D327D"/>
    <w:rsid w:val="001D660C"/>
    <w:rsid w:val="001D68BE"/>
    <w:rsid w:val="001E1B80"/>
    <w:rsid w:val="001E23FB"/>
    <w:rsid w:val="001E54B5"/>
    <w:rsid w:val="001E5C0C"/>
    <w:rsid w:val="001E772A"/>
    <w:rsid w:val="001F1F41"/>
    <w:rsid w:val="001F3132"/>
    <w:rsid w:val="001F4491"/>
    <w:rsid w:val="001F48BF"/>
    <w:rsid w:val="001F5588"/>
    <w:rsid w:val="001F562D"/>
    <w:rsid w:val="001F7CDA"/>
    <w:rsid w:val="001F7F7C"/>
    <w:rsid w:val="00200B44"/>
    <w:rsid w:val="002036FE"/>
    <w:rsid w:val="00210B82"/>
    <w:rsid w:val="002156C7"/>
    <w:rsid w:val="00222766"/>
    <w:rsid w:val="002327D0"/>
    <w:rsid w:val="002333E3"/>
    <w:rsid w:val="0023364B"/>
    <w:rsid w:val="0023503C"/>
    <w:rsid w:val="00235F0F"/>
    <w:rsid w:val="00241D6C"/>
    <w:rsid w:val="00243EA8"/>
    <w:rsid w:val="00244025"/>
    <w:rsid w:val="0024497D"/>
    <w:rsid w:val="0024550F"/>
    <w:rsid w:val="00245E01"/>
    <w:rsid w:val="002463FF"/>
    <w:rsid w:val="002476DB"/>
    <w:rsid w:val="00263506"/>
    <w:rsid w:val="0026514E"/>
    <w:rsid w:val="00265782"/>
    <w:rsid w:val="002674AF"/>
    <w:rsid w:val="00275658"/>
    <w:rsid w:val="00277558"/>
    <w:rsid w:val="00280D1E"/>
    <w:rsid w:val="002859E1"/>
    <w:rsid w:val="00287117"/>
    <w:rsid w:val="002876CB"/>
    <w:rsid w:val="002B30B7"/>
    <w:rsid w:val="002B5FE3"/>
    <w:rsid w:val="002B6BFD"/>
    <w:rsid w:val="002B7ABB"/>
    <w:rsid w:val="002C2E53"/>
    <w:rsid w:val="002C3674"/>
    <w:rsid w:val="002D0C02"/>
    <w:rsid w:val="002D3200"/>
    <w:rsid w:val="002D4BC6"/>
    <w:rsid w:val="002E6119"/>
    <w:rsid w:val="00300635"/>
    <w:rsid w:val="0030077C"/>
    <w:rsid w:val="003026C9"/>
    <w:rsid w:val="00305C90"/>
    <w:rsid w:val="00305EE7"/>
    <w:rsid w:val="0030791E"/>
    <w:rsid w:val="00312A3A"/>
    <w:rsid w:val="00313593"/>
    <w:rsid w:val="003178AA"/>
    <w:rsid w:val="00321E09"/>
    <w:rsid w:val="00326920"/>
    <w:rsid w:val="00334BA4"/>
    <w:rsid w:val="00334D1A"/>
    <w:rsid w:val="0034382A"/>
    <w:rsid w:val="0034390A"/>
    <w:rsid w:val="0035047B"/>
    <w:rsid w:val="003510CA"/>
    <w:rsid w:val="003512D3"/>
    <w:rsid w:val="00352114"/>
    <w:rsid w:val="00353A50"/>
    <w:rsid w:val="00353FB2"/>
    <w:rsid w:val="00353FC0"/>
    <w:rsid w:val="00357C66"/>
    <w:rsid w:val="00363BD3"/>
    <w:rsid w:val="003740CB"/>
    <w:rsid w:val="00383E34"/>
    <w:rsid w:val="00387576"/>
    <w:rsid w:val="003970C9"/>
    <w:rsid w:val="003A0760"/>
    <w:rsid w:val="003A361B"/>
    <w:rsid w:val="003A548B"/>
    <w:rsid w:val="003A7209"/>
    <w:rsid w:val="003B26E3"/>
    <w:rsid w:val="003C283E"/>
    <w:rsid w:val="003C59D9"/>
    <w:rsid w:val="003C68B2"/>
    <w:rsid w:val="003C736C"/>
    <w:rsid w:val="003D1ABD"/>
    <w:rsid w:val="003D2946"/>
    <w:rsid w:val="003D44AF"/>
    <w:rsid w:val="003D5FC5"/>
    <w:rsid w:val="003D7DF1"/>
    <w:rsid w:val="003E27AD"/>
    <w:rsid w:val="003E4A6C"/>
    <w:rsid w:val="003E7DDA"/>
    <w:rsid w:val="003F5AC2"/>
    <w:rsid w:val="004032F6"/>
    <w:rsid w:val="004066D5"/>
    <w:rsid w:val="004215FF"/>
    <w:rsid w:val="00426553"/>
    <w:rsid w:val="004272BD"/>
    <w:rsid w:val="00432625"/>
    <w:rsid w:val="00436FBD"/>
    <w:rsid w:val="00437247"/>
    <w:rsid w:val="00441143"/>
    <w:rsid w:val="00442D18"/>
    <w:rsid w:val="00447229"/>
    <w:rsid w:val="00453D45"/>
    <w:rsid w:val="00457FEA"/>
    <w:rsid w:val="00466FB5"/>
    <w:rsid w:val="0046731C"/>
    <w:rsid w:val="0047117D"/>
    <w:rsid w:val="00471262"/>
    <w:rsid w:val="00473B0C"/>
    <w:rsid w:val="00485E01"/>
    <w:rsid w:val="0048745A"/>
    <w:rsid w:val="00497E1F"/>
    <w:rsid w:val="004A088C"/>
    <w:rsid w:val="004A2FDD"/>
    <w:rsid w:val="004A45E4"/>
    <w:rsid w:val="004A4DD4"/>
    <w:rsid w:val="004B0535"/>
    <w:rsid w:val="004B1832"/>
    <w:rsid w:val="004B30AD"/>
    <w:rsid w:val="004C00BA"/>
    <w:rsid w:val="004C38F9"/>
    <w:rsid w:val="004D10C3"/>
    <w:rsid w:val="004D3798"/>
    <w:rsid w:val="004D5490"/>
    <w:rsid w:val="004E7DA0"/>
    <w:rsid w:val="004F1095"/>
    <w:rsid w:val="00500893"/>
    <w:rsid w:val="00504F20"/>
    <w:rsid w:val="00514D36"/>
    <w:rsid w:val="00521DCE"/>
    <w:rsid w:val="005318B3"/>
    <w:rsid w:val="00532504"/>
    <w:rsid w:val="00535D30"/>
    <w:rsid w:val="00547FF9"/>
    <w:rsid w:val="00552C20"/>
    <w:rsid w:val="00554671"/>
    <w:rsid w:val="00555EC0"/>
    <w:rsid w:val="00557D83"/>
    <w:rsid w:val="00561246"/>
    <w:rsid w:val="005665E5"/>
    <w:rsid w:val="00566764"/>
    <w:rsid w:val="00581759"/>
    <w:rsid w:val="005838B7"/>
    <w:rsid w:val="00587616"/>
    <w:rsid w:val="00591835"/>
    <w:rsid w:val="00593EBF"/>
    <w:rsid w:val="00596734"/>
    <w:rsid w:val="00597855"/>
    <w:rsid w:val="005A4261"/>
    <w:rsid w:val="005A54CC"/>
    <w:rsid w:val="005A5B9C"/>
    <w:rsid w:val="005A61CA"/>
    <w:rsid w:val="005A72FC"/>
    <w:rsid w:val="005B41F0"/>
    <w:rsid w:val="005B77A7"/>
    <w:rsid w:val="005C55D2"/>
    <w:rsid w:val="005D1F99"/>
    <w:rsid w:val="005D304E"/>
    <w:rsid w:val="005D363F"/>
    <w:rsid w:val="005D59F5"/>
    <w:rsid w:val="005D631E"/>
    <w:rsid w:val="005D757F"/>
    <w:rsid w:val="005E0347"/>
    <w:rsid w:val="005E2EF3"/>
    <w:rsid w:val="005F318A"/>
    <w:rsid w:val="006070BA"/>
    <w:rsid w:val="00610BE9"/>
    <w:rsid w:val="00611C17"/>
    <w:rsid w:val="006177E9"/>
    <w:rsid w:val="00617A17"/>
    <w:rsid w:val="00623AD1"/>
    <w:rsid w:val="00624437"/>
    <w:rsid w:val="00626176"/>
    <w:rsid w:val="00631B0D"/>
    <w:rsid w:val="00635F15"/>
    <w:rsid w:val="006375BB"/>
    <w:rsid w:val="00643A2A"/>
    <w:rsid w:val="006503C4"/>
    <w:rsid w:val="006566FB"/>
    <w:rsid w:val="00662A62"/>
    <w:rsid w:val="00663EAA"/>
    <w:rsid w:val="006700D4"/>
    <w:rsid w:val="00672AED"/>
    <w:rsid w:val="00673BCD"/>
    <w:rsid w:val="00683DCE"/>
    <w:rsid w:val="00683EB6"/>
    <w:rsid w:val="0068524D"/>
    <w:rsid w:val="00690BA6"/>
    <w:rsid w:val="00691449"/>
    <w:rsid w:val="00692C5E"/>
    <w:rsid w:val="00694D4A"/>
    <w:rsid w:val="00694EB0"/>
    <w:rsid w:val="006A288B"/>
    <w:rsid w:val="006A7AAA"/>
    <w:rsid w:val="006C2BB7"/>
    <w:rsid w:val="006C42FD"/>
    <w:rsid w:val="006D3ADE"/>
    <w:rsid w:val="006E63B3"/>
    <w:rsid w:val="006F5FB9"/>
    <w:rsid w:val="006F63B1"/>
    <w:rsid w:val="006F654E"/>
    <w:rsid w:val="0070043C"/>
    <w:rsid w:val="00704FE4"/>
    <w:rsid w:val="007155E2"/>
    <w:rsid w:val="00720A7B"/>
    <w:rsid w:val="00720F72"/>
    <w:rsid w:val="0072326C"/>
    <w:rsid w:val="00724969"/>
    <w:rsid w:val="0072733B"/>
    <w:rsid w:val="007403D3"/>
    <w:rsid w:val="00742154"/>
    <w:rsid w:val="007421D3"/>
    <w:rsid w:val="00743CD1"/>
    <w:rsid w:val="0075063B"/>
    <w:rsid w:val="0076548A"/>
    <w:rsid w:val="007818B5"/>
    <w:rsid w:val="00783667"/>
    <w:rsid w:val="007848DA"/>
    <w:rsid w:val="00785657"/>
    <w:rsid w:val="0079080E"/>
    <w:rsid w:val="00791404"/>
    <w:rsid w:val="00791723"/>
    <w:rsid w:val="00791F50"/>
    <w:rsid w:val="0079321C"/>
    <w:rsid w:val="00796556"/>
    <w:rsid w:val="007969F2"/>
    <w:rsid w:val="00797635"/>
    <w:rsid w:val="00797733"/>
    <w:rsid w:val="007A3B77"/>
    <w:rsid w:val="007A3C65"/>
    <w:rsid w:val="007A45C6"/>
    <w:rsid w:val="007A4619"/>
    <w:rsid w:val="007B124E"/>
    <w:rsid w:val="007B72E4"/>
    <w:rsid w:val="007C08BF"/>
    <w:rsid w:val="007C54F5"/>
    <w:rsid w:val="007D2CF0"/>
    <w:rsid w:val="007F1CD5"/>
    <w:rsid w:val="007F73D1"/>
    <w:rsid w:val="0080594F"/>
    <w:rsid w:val="00812D2A"/>
    <w:rsid w:val="00820562"/>
    <w:rsid w:val="00826868"/>
    <w:rsid w:val="008276EF"/>
    <w:rsid w:val="00827B51"/>
    <w:rsid w:val="008303BE"/>
    <w:rsid w:val="00830BD7"/>
    <w:rsid w:val="00831AF4"/>
    <w:rsid w:val="00834157"/>
    <w:rsid w:val="00855056"/>
    <w:rsid w:val="00856134"/>
    <w:rsid w:val="0086369E"/>
    <w:rsid w:val="00863E0A"/>
    <w:rsid w:val="00870A90"/>
    <w:rsid w:val="0087383A"/>
    <w:rsid w:val="0087515E"/>
    <w:rsid w:val="0088465A"/>
    <w:rsid w:val="008879D0"/>
    <w:rsid w:val="00891110"/>
    <w:rsid w:val="0089202D"/>
    <w:rsid w:val="008945C9"/>
    <w:rsid w:val="008A2FD3"/>
    <w:rsid w:val="008A51C1"/>
    <w:rsid w:val="008A7604"/>
    <w:rsid w:val="008B24FD"/>
    <w:rsid w:val="008C3132"/>
    <w:rsid w:val="008C6B88"/>
    <w:rsid w:val="008D3538"/>
    <w:rsid w:val="008D55C8"/>
    <w:rsid w:val="008E2509"/>
    <w:rsid w:val="008E3519"/>
    <w:rsid w:val="008E44E5"/>
    <w:rsid w:val="008E4D48"/>
    <w:rsid w:val="008E595A"/>
    <w:rsid w:val="008E5EBB"/>
    <w:rsid w:val="008E6697"/>
    <w:rsid w:val="008F0C6D"/>
    <w:rsid w:val="008F1D12"/>
    <w:rsid w:val="008F4692"/>
    <w:rsid w:val="008F52AC"/>
    <w:rsid w:val="008F55E0"/>
    <w:rsid w:val="009119A4"/>
    <w:rsid w:val="00920B18"/>
    <w:rsid w:val="00924FAF"/>
    <w:rsid w:val="00927F94"/>
    <w:rsid w:val="00930623"/>
    <w:rsid w:val="0093121F"/>
    <w:rsid w:val="009455E1"/>
    <w:rsid w:val="00951EB8"/>
    <w:rsid w:val="00960037"/>
    <w:rsid w:val="009631E2"/>
    <w:rsid w:val="009671CC"/>
    <w:rsid w:val="00972AC0"/>
    <w:rsid w:val="00980264"/>
    <w:rsid w:val="00980C35"/>
    <w:rsid w:val="00987321"/>
    <w:rsid w:val="00991AAE"/>
    <w:rsid w:val="00994345"/>
    <w:rsid w:val="0099794A"/>
    <w:rsid w:val="009B7426"/>
    <w:rsid w:val="009C1B0F"/>
    <w:rsid w:val="009C5480"/>
    <w:rsid w:val="009C621B"/>
    <w:rsid w:val="009D1B0F"/>
    <w:rsid w:val="009D246B"/>
    <w:rsid w:val="009D46A2"/>
    <w:rsid w:val="009D79BB"/>
    <w:rsid w:val="009E1FD5"/>
    <w:rsid w:val="009E4F20"/>
    <w:rsid w:val="009F23E9"/>
    <w:rsid w:val="009F3913"/>
    <w:rsid w:val="00A00062"/>
    <w:rsid w:val="00A05DBC"/>
    <w:rsid w:val="00A06CFD"/>
    <w:rsid w:val="00A12663"/>
    <w:rsid w:val="00A20516"/>
    <w:rsid w:val="00A26BE1"/>
    <w:rsid w:val="00A323E5"/>
    <w:rsid w:val="00A32A9F"/>
    <w:rsid w:val="00A462EA"/>
    <w:rsid w:val="00A5168C"/>
    <w:rsid w:val="00A55323"/>
    <w:rsid w:val="00A57C82"/>
    <w:rsid w:val="00A660D0"/>
    <w:rsid w:val="00A703C4"/>
    <w:rsid w:val="00A746B1"/>
    <w:rsid w:val="00A762AC"/>
    <w:rsid w:val="00A90D64"/>
    <w:rsid w:val="00A91BF3"/>
    <w:rsid w:val="00A9797E"/>
    <w:rsid w:val="00AA238A"/>
    <w:rsid w:val="00AA2992"/>
    <w:rsid w:val="00AA45C5"/>
    <w:rsid w:val="00AA5E73"/>
    <w:rsid w:val="00AB2E70"/>
    <w:rsid w:val="00AB3919"/>
    <w:rsid w:val="00AB4EC0"/>
    <w:rsid w:val="00AB5036"/>
    <w:rsid w:val="00AB5E7D"/>
    <w:rsid w:val="00AB7737"/>
    <w:rsid w:val="00AC27BB"/>
    <w:rsid w:val="00AD2A23"/>
    <w:rsid w:val="00AD2E2F"/>
    <w:rsid w:val="00AD37B7"/>
    <w:rsid w:val="00AD3B58"/>
    <w:rsid w:val="00AE1A50"/>
    <w:rsid w:val="00AE20F3"/>
    <w:rsid w:val="00AE7CD2"/>
    <w:rsid w:val="00AF48A4"/>
    <w:rsid w:val="00AF537E"/>
    <w:rsid w:val="00B016AE"/>
    <w:rsid w:val="00B01A19"/>
    <w:rsid w:val="00B0350F"/>
    <w:rsid w:val="00B105E0"/>
    <w:rsid w:val="00B154D9"/>
    <w:rsid w:val="00B17997"/>
    <w:rsid w:val="00B234C7"/>
    <w:rsid w:val="00B247C1"/>
    <w:rsid w:val="00B26C84"/>
    <w:rsid w:val="00B32C3F"/>
    <w:rsid w:val="00B33E7C"/>
    <w:rsid w:val="00B3773C"/>
    <w:rsid w:val="00B40BFE"/>
    <w:rsid w:val="00B51323"/>
    <w:rsid w:val="00B54615"/>
    <w:rsid w:val="00B808F1"/>
    <w:rsid w:val="00B914C9"/>
    <w:rsid w:val="00B93EA2"/>
    <w:rsid w:val="00BA1235"/>
    <w:rsid w:val="00BA240D"/>
    <w:rsid w:val="00BA571E"/>
    <w:rsid w:val="00BB3895"/>
    <w:rsid w:val="00BC2ED8"/>
    <w:rsid w:val="00BC6D29"/>
    <w:rsid w:val="00BD4AAC"/>
    <w:rsid w:val="00BE056E"/>
    <w:rsid w:val="00BE09BA"/>
    <w:rsid w:val="00BE26F9"/>
    <w:rsid w:val="00BE302F"/>
    <w:rsid w:val="00BE43FC"/>
    <w:rsid w:val="00BE7445"/>
    <w:rsid w:val="00BF3838"/>
    <w:rsid w:val="00C013DB"/>
    <w:rsid w:val="00C1327C"/>
    <w:rsid w:val="00C31044"/>
    <w:rsid w:val="00C330C8"/>
    <w:rsid w:val="00C402F9"/>
    <w:rsid w:val="00C42205"/>
    <w:rsid w:val="00C44133"/>
    <w:rsid w:val="00C45765"/>
    <w:rsid w:val="00C477C1"/>
    <w:rsid w:val="00C5184C"/>
    <w:rsid w:val="00C55DAF"/>
    <w:rsid w:val="00C6006A"/>
    <w:rsid w:val="00C61CEE"/>
    <w:rsid w:val="00C67F65"/>
    <w:rsid w:val="00C70E2A"/>
    <w:rsid w:val="00C71ECA"/>
    <w:rsid w:val="00C732DA"/>
    <w:rsid w:val="00C7462E"/>
    <w:rsid w:val="00C829D5"/>
    <w:rsid w:val="00C82A7F"/>
    <w:rsid w:val="00C85164"/>
    <w:rsid w:val="00C94A16"/>
    <w:rsid w:val="00C97D9F"/>
    <w:rsid w:val="00CA2876"/>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13F9"/>
    <w:rsid w:val="00CF2FDB"/>
    <w:rsid w:val="00CF45AC"/>
    <w:rsid w:val="00CF779D"/>
    <w:rsid w:val="00D06713"/>
    <w:rsid w:val="00D1146F"/>
    <w:rsid w:val="00D12986"/>
    <w:rsid w:val="00D14C63"/>
    <w:rsid w:val="00D15B38"/>
    <w:rsid w:val="00D16404"/>
    <w:rsid w:val="00D24C81"/>
    <w:rsid w:val="00D24F96"/>
    <w:rsid w:val="00D275FE"/>
    <w:rsid w:val="00D33D5C"/>
    <w:rsid w:val="00D40328"/>
    <w:rsid w:val="00D46AD1"/>
    <w:rsid w:val="00D47D89"/>
    <w:rsid w:val="00D53F49"/>
    <w:rsid w:val="00D57FDB"/>
    <w:rsid w:val="00D61DD2"/>
    <w:rsid w:val="00D626EA"/>
    <w:rsid w:val="00D734E7"/>
    <w:rsid w:val="00D74DA2"/>
    <w:rsid w:val="00D85AB6"/>
    <w:rsid w:val="00D86ED5"/>
    <w:rsid w:val="00D87A1A"/>
    <w:rsid w:val="00D9077B"/>
    <w:rsid w:val="00D92564"/>
    <w:rsid w:val="00DA3CD0"/>
    <w:rsid w:val="00DB1318"/>
    <w:rsid w:val="00DC07D6"/>
    <w:rsid w:val="00DD2FB7"/>
    <w:rsid w:val="00DD516F"/>
    <w:rsid w:val="00DD5E16"/>
    <w:rsid w:val="00DD6AFB"/>
    <w:rsid w:val="00DD715F"/>
    <w:rsid w:val="00DD7212"/>
    <w:rsid w:val="00DE2FA8"/>
    <w:rsid w:val="00DE7E09"/>
    <w:rsid w:val="00DE7EBA"/>
    <w:rsid w:val="00DF0D63"/>
    <w:rsid w:val="00DF14BA"/>
    <w:rsid w:val="00DF1CD4"/>
    <w:rsid w:val="00DF40F3"/>
    <w:rsid w:val="00E14DD2"/>
    <w:rsid w:val="00E161B8"/>
    <w:rsid w:val="00E24D85"/>
    <w:rsid w:val="00E27624"/>
    <w:rsid w:val="00E432EC"/>
    <w:rsid w:val="00E44FD0"/>
    <w:rsid w:val="00E460AC"/>
    <w:rsid w:val="00E60E7F"/>
    <w:rsid w:val="00E627BC"/>
    <w:rsid w:val="00E67A57"/>
    <w:rsid w:val="00E67EAA"/>
    <w:rsid w:val="00E70FD2"/>
    <w:rsid w:val="00E71EF1"/>
    <w:rsid w:val="00E808A8"/>
    <w:rsid w:val="00E815D8"/>
    <w:rsid w:val="00E95327"/>
    <w:rsid w:val="00EA09CC"/>
    <w:rsid w:val="00EA1B16"/>
    <w:rsid w:val="00EA54BA"/>
    <w:rsid w:val="00EC3FA4"/>
    <w:rsid w:val="00ED1897"/>
    <w:rsid w:val="00ED2F0D"/>
    <w:rsid w:val="00ED397B"/>
    <w:rsid w:val="00ED7A6B"/>
    <w:rsid w:val="00ED7CC7"/>
    <w:rsid w:val="00EE6CF1"/>
    <w:rsid w:val="00EF1B13"/>
    <w:rsid w:val="00EF312F"/>
    <w:rsid w:val="00EF3501"/>
    <w:rsid w:val="00F04FBD"/>
    <w:rsid w:val="00F06734"/>
    <w:rsid w:val="00F1664C"/>
    <w:rsid w:val="00F26667"/>
    <w:rsid w:val="00F34781"/>
    <w:rsid w:val="00F40BDF"/>
    <w:rsid w:val="00F50ACA"/>
    <w:rsid w:val="00F51A76"/>
    <w:rsid w:val="00F527BB"/>
    <w:rsid w:val="00F576ED"/>
    <w:rsid w:val="00F63EE2"/>
    <w:rsid w:val="00F64FE1"/>
    <w:rsid w:val="00F657D1"/>
    <w:rsid w:val="00F65D8F"/>
    <w:rsid w:val="00F7060B"/>
    <w:rsid w:val="00F75363"/>
    <w:rsid w:val="00F82072"/>
    <w:rsid w:val="00F8592F"/>
    <w:rsid w:val="00F95714"/>
    <w:rsid w:val="00F9658C"/>
    <w:rsid w:val="00F96850"/>
    <w:rsid w:val="00FA04A2"/>
    <w:rsid w:val="00FB0487"/>
    <w:rsid w:val="00FB19F1"/>
    <w:rsid w:val="00FB79B4"/>
    <w:rsid w:val="00FC1587"/>
    <w:rsid w:val="00FC236A"/>
    <w:rsid w:val="00FC482E"/>
    <w:rsid w:val="00FC650F"/>
    <w:rsid w:val="00FC70E5"/>
    <w:rsid w:val="00FD0424"/>
    <w:rsid w:val="00FD0896"/>
    <w:rsid w:val="00FD24BB"/>
    <w:rsid w:val="00FD3715"/>
    <w:rsid w:val="00FD4948"/>
    <w:rsid w:val="00FD52BD"/>
    <w:rsid w:val="00FD7E67"/>
    <w:rsid w:val="00FE32CF"/>
    <w:rsid w:val="00FE66F1"/>
    <w:rsid w:val="00FE7895"/>
    <w:rsid w:val="00FF09B2"/>
    <w:rsid w:val="00FF0E54"/>
    <w:rsid w:val="00FF3F44"/>
    <w:rsid w:val="00FF5A29"/>
    <w:rsid w:val="03AFA922"/>
    <w:rsid w:val="1E37F69C"/>
    <w:rsid w:val="203E310D"/>
    <w:rsid w:val="2633C5E8"/>
    <w:rsid w:val="27EEBB0F"/>
    <w:rsid w:val="2E73781A"/>
    <w:rsid w:val="32BB0847"/>
    <w:rsid w:val="3584C586"/>
    <w:rsid w:val="44E8ACA6"/>
    <w:rsid w:val="460CC379"/>
    <w:rsid w:val="56FF2DCD"/>
    <w:rsid w:val="59622957"/>
    <w:rsid w:val="5B04775C"/>
    <w:rsid w:val="629C2160"/>
    <w:rsid w:val="6D408CB7"/>
    <w:rsid w:val="6EF11CDC"/>
    <w:rsid w:val="7AC56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43FD6ED0"/>
  <w15:docId w15:val="{8145F95A-D414-4EEC-8D71-D5771B6F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366971">
      <w:bodyDiv w:val="1"/>
      <w:marLeft w:val="0"/>
      <w:marRight w:val="0"/>
      <w:marTop w:val="0"/>
      <w:marBottom w:val="0"/>
      <w:divBdr>
        <w:top w:val="none" w:sz="0" w:space="0" w:color="auto"/>
        <w:left w:val="none" w:sz="0" w:space="0" w:color="auto"/>
        <w:bottom w:val="none" w:sz="0" w:space="0" w:color="auto"/>
        <w:right w:val="none" w:sz="0" w:space="0" w:color="auto"/>
      </w:divBdr>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mailto:finance@mxdusa.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Jon Oaks</DisplayName>
        <AccountId>20</AccountId>
        <AccountType/>
      </UserInfo>
    </SharedWithUsers>
    <_dlc_DocId xmlns="22707592-1df5-4212-a5a2-7fd3b625c79c">S45AWDC5HU4Y-1670735836-239948</_dlc_DocId>
    <_dlc_DocIdUrl xmlns="22707592-1df5-4212-a5a2-7fd3b625c79c">
      <Url>https://uilabs365.sharepoint.com/sites/MxDSharePoint/_layouts/15/DocIdRedir.aspx?ID=S45AWDC5HU4Y-1670735836-239948</Url>
      <Description>S45AWDC5HU4Y-1670735836-239948</Description>
    </_dlc_DocIdUrl>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2.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customXml/itemProps3.xml><?xml version="1.0" encoding="utf-8"?>
<ds:datastoreItem xmlns:ds="http://schemas.openxmlformats.org/officeDocument/2006/customXml" ds:itemID="{3AE29293-50C4-4C1B-A39E-637253FAF81B}"/>
</file>

<file path=customXml/itemProps4.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5.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8443</Words>
  <Characters>48131</Characters>
  <Application>Microsoft Office Word</Application>
  <DocSecurity>0</DocSecurity>
  <Lines>401</Lines>
  <Paragraphs>112</Paragraphs>
  <ScaleCrop>false</ScaleCrop>
  <Manager/>
  <Company/>
  <LinksUpToDate>false</LinksUpToDate>
  <CharactersWithSpaces>56462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Amy Janney</cp:lastModifiedBy>
  <cp:revision>11</cp:revision>
  <cp:lastPrinted>2019-05-07T15:32:00Z</cp:lastPrinted>
  <dcterms:created xsi:type="dcterms:W3CDTF">2022-08-03T20:20:00Z</dcterms:created>
  <dcterms:modified xsi:type="dcterms:W3CDTF">2022-08-15T23:30:00Z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2bfed8ef-7542-46f5-89e6-f38b84e73ebc</vt:lpwstr>
  </property>
</Properties>
</file>